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7A4690F6" w:rsidR="00C326A1" w:rsidRPr="007B5B64" w:rsidRDefault="00D22363" w:rsidP="00C326A1">
                            <w:pPr>
                              <w:ind w:firstLine="284"/>
                              <w:rPr>
                                <w:smallCaps/>
                                <w:sz w:val="40"/>
                                <w:szCs w:val="40"/>
                              </w:rPr>
                            </w:pPr>
                            <w:r>
                              <w:rPr>
                                <w:rFonts w:ascii="Futura" w:hAnsi="Futura" w:cs="Futura Medium"/>
                                <w:b/>
                                <w:bCs/>
                                <w:smallCaps/>
                                <w:color w:val="F4951E"/>
                                <w:sz w:val="40"/>
                                <w:szCs w:val="40"/>
                                <w:lang w:val="fr-CA" w:bidi="fr-FR"/>
                              </w:rPr>
                              <w:t>Mise en place du télétravail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7A4690F6" w:rsidR="00C326A1" w:rsidRPr="007B5B64" w:rsidRDefault="00D22363" w:rsidP="00C326A1">
                      <w:pPr>
                        <w:ind w:firstLine="284"/>
                        <w:rPr>
                          <w:smallCaps/>
                          <w:sz w:val="40"/>
                          <w:szCs w:val="40"/>
                        </w:rPr>
                      </w:pPr>
                      <w:r>
                        <w:rPr>
                          <w:rFonts w:ascii="Futura" w:hAnsi="Futura" w:cs="Futura Medium"/>
                          <w:b/>
                          <w:bCs/>
                          <w:smallCaps/>
                          <w:color w:val="F4951E"/>
                          <w:sz w:val="40"/>
                          <w:szCs w:val="40"/>
                          <w:lang w:val="fr-CA" w:bidi="fr-FR"/>
                        </w:rPr>
                        <w:t>Mise en place du télétravail</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72A06E54" w:rsidR="00672221" w:rsidRPr="00672221" w:rsidRDefault="00672221" w:rsidP="00672221">
                            <w:pPr>
                              <w:jc w:val="center"/>
                              <w:rPr>
                                <w:b/>
                                <w:iCs/>
                                <w:color w:val="FFFFFF" w:themeColor="background1"/>
                              </w:rPr>
                            </w:pPr>
                            <w:r>
                              <w:rPr>
                                <w:b/>
                                <w:iCs/>
                                <w:color w:val="FFFFFF" w:themeColor="background1"/>
                                <w:u w:val="single" w:color="006FC0"/>
                              </w:rPr>
                              <w:t>Texte</w:t>
                            </w:r>
                            <w:r w:rsidR="004F30FD">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72A06E54" w:rsidR="00672221" w:rsidRPr="00672221" w:rsidRDefault="00672221" w:rsidP="00672221">
                      <w:pPr>
                        <w:jc w:val="center"/>
                        <w:rPr>
                          <w:b/>
                          <w:iCs/>
                          <w:color w:val="FFFFFF" w:themeColor="background1"/>
                        </w:rPr>
                      </w:pPr>
                      <w:r>
                        <w:rPr>
                          <w:b/>
                          <w:iCs/>
                          <w:color w:val="FFFFFF" w:themeColor="background1"/>
                          <w:u w:val="single" w:color="006FC0"/>
                        </w:rPr>
                        <w:t>Texte</w:t>
                      </w:r>
                      <w:r w:rsidR="004F30FD">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707E3F75" w14:textId="2DDD61D3" w:rsidR="00672221" w:rsidRPr="007B5B64" w:rsidRDefault="00672221" w:rsidP="00672221">
      <w:pPr>
        <w:spacing w:line="243" w:lineRule="exact"/>
        <w:ind w:left="587"/>
        <w:rPr>
          <w:b/>
          <w:i/>
          <w:color w:val="232C57"/>
        </w:rPr>
      </w:pP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448A577C">
                <wp:simplePos x="0" y="0"/>
                <wp:positionH relativeFrom="column">
                  <wp:posOffset>1167765</wp:posOffset>
                </wp:positionH>
                <wp:positionV relativeFrom="paragraph">
                  <wp:posOffset>20321</wp:posOffset>
                </wp:positionV>
                <wp:extent cx="5191125" cy="1181100"/>
                <wp:effectExtent l="0" t="0" r="28575" b="19050"/>
                <wp:wrapNone/>
                <wp:docPr id="176414830" name="Rectangle 1"/>
                <wp:cNvGraphicFramePr/>
                <a:graphic xmlns:a="http://schemas.openxmlformats.org/drawingml/2006/main">
                  <a:graphicData uri="http://schemas.microsoft.com/office/word/2010/wordprocessingShape">
                    <wps:wsp>
                      <wps:cNvSpPr/>
                      <wps:spPr>
                        <a:xfrm>
                          <a:off x="0" y="0"/>
                          <a:ext cx="5191125" cy="1181100"/>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DCCC48" w14:textId="77777777" w:rsidR="00D22363" w:rsidRPr="00D22363" w:rsidRDefault="00D22363" w:rsidP="00D22363">
                            <w:pPr>
                              <w:pStyle w:val="Corpsdetexte3"/>
                              <w:numPr>
                                <w:ilvl w:val="0"/>
                                <w:numId w:val="31"/>
                              </w:numPr>
                              <w:spacing w:after="0"/>
                              <w:jc w:val="both"/>
                              <w:rPr>
                                <w:rFonts w:cstheme="minorHAnsi"/>
                                <w:b/>
                                <w:bCs/>
                                <w:color w:val="232C57"/>
                                <w:sz w:val="20"/>
                                <w:szCs w:val="20"/>
                              </w:rPr>
                            </w:pPr>
                            <w:r w:rsidRPr="00D22363">
                              <w:rPr>
                                <w:rFonts w:cstheme="minorHAnsi"/>
                                <w:b/>
                                <w:bCs/>
                                <w:color w:val="232C57"/>
                                <w:sz w:val="20"/>
                                <w:szCs w:val="20"/>
                              </w:rPr>
                              <w:t>Articles L1-L6 du Code Général de la Fonction Publique</w:t>
                            </w:r>
                          </w:p>
                          <w:p w14:paraId="1F95CEFC" w14:textId="77777777" w:rsidR="00D22363" w:rsidRPr="00D22363" w:rsidRDefault="00D22363" w:rsidP="00794D94">
                            <w:pPr>
                              <w:pStyle w:val="Corpsdetexte3"/>
                              <w:numPr>
                                <w:ilvl w:val="0"/>
                                <w:numId w:val="31"/>
                              </w:numPr>
                              <w:spacing w:after="0"/>
                              <w:jc w:val="both"/>
                              <w:rPr>
                                <w:rFonts w:cstheme="minorHAnsi"/>
                                <w:b/>
                                <w:bCs/>
                                <w:color w:val="232C57"/>
                                <w:sz w:val="20"/>
                                <w:szCs w:val="20"/>
                              </w:rPr>
                            </w:pPr>
                            <w:r w:rsidRPr="00D22363">
                              <w:rPr>
                                <w:rFonts w:cstheme="minorHAnsi"/>
                                <w:b/>
                                <w:bCs/>
                                <w:color w:val="232C57"/>
                                <w:sz w:val="20"/>
                                <w:szCs w:val="20"/>
                              </w:rPr>
                              <w:t>Décret n°2016-151 du 11 février 2016 relatif aux conditions et modalités de mise en œuvre du télétravail dans la Fonction Publique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08.75pt;height:9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" fillcolor="#f4951e" strokecolor="#09101d [484]" strokeweight="1pt">
                <v:textbox>
                  <w:txbxContent>
                    <w:p w14:paraId="46DCCC48" w14:textId="77777777" w:rsidR="00D22363" w:rsidRPr="00D22363" w:rsidRDefault="00D22363" w:rsidP="00D22363">
                      <w:pPr>
                        <w:pStyle w:val="Corpsdetexte3"/>
                        <w:numPr>
                          <w:ilvl w:val="0"/>
                          <w:numId w:val="31"/>
                        </w:numPr>
                        <w:spacing w:after="0"/>
                        <w:jc w:val="both"/>
                        <w:cnfStyle w:val="101000000000" w:firstRow="1" w:lastRow="0" w:firstColumn="1" w:lastColumn="0" w:oddVBand="0" w:evenVBand="0" w:oddHBand="0" w:evenHBand="0" w:firstRowFirstColumn="0" w:firstRowLastColumn="0" w:lastRowFirstColumn="0" w:lastRowLastColumn="0"/>
                        <w:rPr>
                          <w:rFonts w:cstheme="minorHAnsi"/>
                          <w:b/>
                          <w:bCs/>
                          <w:color w:val="232C57"/>
                          <w:sz w:val="20"/>
                          <w:szCs w:val="20"/>
                        </w:rPr>
                      </w:pPr>
                      <w:r w:rsidRPr="00D22363">
                        <w:rPr>
                          <w:rFonts w:cstheme="minorHAnsi"/>
                          <w:b/>
                          <w:bCs/>
                          <w:color w:val="232C57"/>
                          <w:sz w:val="20"/>
                          <w:szCs w:val="20"/>
                        </w:rPr>
                        <w:t>Articles L1-L6 du Code Général de la Fonction Publique</w:t>
                      </w:r>
                    </w:p>
                    <w:p w14:paraId="1F95CEFC" w14:textId="77777777" w:rsidR="00D22363" w:rsidRPr="00D22363" w:rsidRDefault="00D22363" w:rsidP="00794D94">
                      <w:pPr>
                        <w:pStyle w:val="Corpsdetexte3"/>
                        <w:numPr>
                          <w:ilvl w:val="0"/>
                          <w:numId w:val="31"/>
                        </w:numPr>
                        <w:spacing w:after="0"/>
                        <w:jc w:val="both"/>
                        <w:cnfStyle w:val="101000000000" w:firstRow="1" w:lastRow="0" w:firstColumn="1" w:lastColumn="0" w:oddVBand="0" w:evenVBand="0" w:oddHBand="0" w:evenHBand="0" w:firstRowFirstColumn="0" w:firstRowLastColumn="0" w:lastRowFirstColumn="0" w:lastRowLastColumn="0"/>
                        <w:rPr>
                          <w:rFonts w:cstheme="minorHAnsi"/>
                          <w:b/>
                          <w:bCs/>
                          <w:color w:val="232C57"/>
                          <w:sz w:val="20"/>
                          <w:szCs w:val="20"/>
                        </w:rPr>
                      </w:pPr>
                      <w:r w:rsidRPr="00D22363">
                        <w:rPr>
                          <w:rFonts w:cstheme="minorHAnsi"/>
                          <w:b/>
                          <w:bCs/>
                          <w:color w:val="232C57"/>
                          <w:sz w:val="20"/>
                          <w:szCs w:val="20"/>
                        </w:rPr>
                        <w:t>Décret n°2016-151 du 11 février 2016 relatif aux conditions et modalités de mise en œuvre du télétravail dans la Fonction Publique Territoriale</w:t>
                      </w: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7809C0E5" w14:textId="77777777" w:rsidR="00D22363" w:rsidRDefault="00D22363"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3628CD9E" w:rsidR="00860CDF" w:rsidRDefault="00D22363"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67165ADD" w14:textId="77777777" w:rsidR="00D22363" w:rsidRPr="00B92589" w:rsidRDefault="00D22363" w:rsidP="00D22363">
      <w:pPr>
        <w:jc w:val="both"/>
        <w:rPr>
          <w:rFonts w:cstheme="minorHAnsi"/>
        </w:rPr>
      </w:pPr>
      <w:r w:rsidRPr="00B92589">
        <w:rPr>
          <w:rFonts w:cstheme="minorHAnsi"/>
        </w:rPr>
        <w:t>Le télétravail est un mode d'organisation du travail dont l'objectif est de mieux articuler vie personnelle et vie professionnelle. Le décret détermine ses conditions d'exercice : quotité des fonctions pouvant être exercées sous la forme du télétravail, nécessité d'une demande de l'agent, durée de l'autorisation, mentions que doit comporter l'acte d'autorisation. Sont exclues du champ d'application du présent décret les autres formes de travail à distance (travail nomade, travail en réseau…). </w:t>
      </w:r>
    </w:p>
    <w:p w14:paraId="5FA8CE76" w14:textId="77777777" w:rsidR="00D22363" w:rsidRPr="00B92589" w:rsidRDefault="00D22363" w:rsidP="00D22363">
      <w:pPr>
        <w:jc w:val="both"/>
        <w:rPr>
          <w:rFonts w:cstheme="minorHAnsi"/>
        </w:rPr>
      </w:pPr>
      <w:r w:rsidRPr="00B92589">
        <w:rPr>
          <w:rFonts w:cstheme="minorHAnsi"/>
        </w:rPr>
        <w:br/>
        <w:t>Le télétravail est organisé au domicile de l'agent ou, éventuellement, dans des locaux professionnels distincts de ceux de son employeur public et de son lieu d'affectation.</w:t>
      </w:r>
    </w:p>
    <w:p w14:paraId="6A058092" w14:textId="77777777" w:rsidR="00D22363" w:rsidRPr="00B92589" w:rsidRDefault="00D22363" w:rsidP="00D22363">
      <w:pPr>
        <w:jc w:val="both"/>
        <w:rPr>
          <w:rFonts w:cstheme="minorHAnsi"/>
        </w:rPr>
      </w:pPr>
      <w:r w:rsidRPr="00B92589">
        <w:rPr>
          <w:rFonts w:cstheme="minorHAnsi"/>
        </w:rPr>
        <w:br/>
        <w:t>Les périodes d'astreintes mentionnées à l'article 5 du décret du 25 août 2000 susvisé article 5 du décret du 12 juillet 2001 susvisé article 20 du décret du 4 janvier 2002 susvisé ne constituent pas du télétravail au sens du présent décret.</w:t>
      </w:r>
    </w:p>
    <w:p w14:paraId="592B64E8" w14:textId="67090442" w:rsidR="007565D6" w:rsidRDefault="007565D6" w:rsidP="00672221">
      <w:pPr>
        <w:pStyle w:val="Corpsdetexte"/>
        <w:spacing w:before="59"/>
        <w:ind w:left="284" w:right="316"/>
        <w:jc w:val="both"/>
      </w:pP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6BA78306" w14:textId="77777777" w:rsidR="00672221" w:rsidRDefault="00672221" w:rsidP="007565D6">
      <w:pPr>
        <w:pStyle w:val="Corpsdetexte"/>
        <w:spacing w:before="10"/>
      </w:pPr>
    </w:p>
    <w:p w14:paraId="6A24FCD6" w14:textId="77777777" w:rsidR="00672221" w:rsidRDefault="00672221"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2747CC4D" w14:textId="77777777" w:rsidR="00AD11A4" w:rsidRDefault="00AD11A4" w:rsidP="00CD4CFC">
      <w:pPr>
        <w:pStyle w:val="Corpsdetexte"/>
        <w:spacing w:before="10"/>
        <w:ind w:left="284"/>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21C21CB4" w14:textId="4DAEB2A5" w:rsidR="00CD4CFC" w:rsidRDefault="008A0818" w:rsidP="00672221">
      <w:pPr>
        <w:pStyle w:val="Corpsdetexte"/>
        <w:spacing w:before="10"/>
        <w:ind w:left="284"/>
      </w:pPr>
      <w: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0C55E9A7" w14:textId="77777777" w:rsidR="00672221" w:rsidRDefault="00672221" w:rsidP="007565D6">
      <w:pPr>
        <w:pStyle w:val="Corpsdetexte"/>
        <w:spacing w:before="10"/>
      </w:pPr>
    </w:p>
    <w:p w14:paraId="033DF2BD" w14:textId="77777777" w:rsidR="00672221" w:rsidRDefault="00672221" w:rsidP="007565D6">
      <w:pPr>
        <w:pStyle w:val="Corpsdetexte"/>
        <w:spacing w:before="10"/>
      </w:pP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xx.xx.xxxx</w:t>
      </w:r>
      <w:proofErr w:type="spellEnd"/>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219F5739" w14:textId="77777777" w:rsidR="00F4707E" w:rsidRDefault="00F4707E" w:rsidP="007565D6">
      <w:pPr>
        <w:pStyle w:val="Corpsdetexte"/>
        <w:spacing w:before="10"/>
      </w:pPr>
    </w:p>
    <w:p w14:paraId="0D105DD5" w14:textId="77777777" w:rsidR="00F4707E" w:rsidRDefault="00F4707E" w:rsidP="007565D6">
      <w:pPr>
        <w:pStyle w:val="Corpsdetexte"/>
        <w:spacing w:before="10"/>
      </w:pPr>
    </w:p>
    <w:p w14:paraId="40E27394" w14:textId="77777777" w:rsidR="00CD4CFC" w:rsidRDefault="00CD4CFC" w:rsidP="007565D6">
      <w:pPr>
        <w:pStyle w:val="Corpsdetexte"/>
        <w:spacing w:before="10"/>
      </w:pPr>
    </w:p>
    <w:p w14:paraId="607270CC" w14:textId="38AC5F7F" w:rsidR="008A0818" w:rsidRDefault="00F4707E" w:rsidP="007565D6">
      <w:pPr>
        <w:pStyle w:val="Corpsdetexte"/>
        <w:spacing w:before="10"/>
      </w:pPr>
      <w:r>
        <w:tab/>
        <w:t xml:space="preserve">Pièce à joindre en </w:t>
      </w:r>
      <w:r w:rsidR="00AD11A4">
        <w:t>complément</w:t>
      </w:r>
      <w:r>
        <w:t xml:space="preserve"> de l’imprimé de saisine :</w:t>
      </w:r>
    </w:p>
    <w:p w14:paraId="25FCD95D" w14:textId="2A7C834F" w:rsidR="00F4707E" w:rsidRDefault="00F4707E" w:rsidP="00F4707E">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04394173" w:rsidR="00C043C8" w:rsidRDefault="00C043C8" w:rsidP="00C043C8">
                            <w:pPr>
                              <w:pStyle w:val="Paragraphedeliste"/>
                              <w:jc w:val="center"/>
                              <w:rPr>
                                <w:b/>
                                <w:bCs/>
                                <w:color w:val="ED7D31" w:themeColor="accent2"/>
                              </w:rPr>
                            </w:pPr>
                            <w:r w:rsidRPr="008A0818">
                              <w:rPr>
                                <w:b/>
                                <w:bCs/>
                                <w:color w:val="FFFFFF" w:themeColor="background1"/>
                              </w:rPr>
                              <w:t>A envoy</w:t>
                            </w:r>
                            <w:r w:rsidR="004F30FD">
                              <w:rPr>
                                <w:b/>
                                <w:bCs/>
                                <w:color w:val="FFFFFF" w:themeColor="background1"/>
                              </w:rPr>
                              <w:t>er</w:t>
                            </w:r>
                            <w:r w:rsidRPr="008A0818">
                              <w:rPr>
                                <w:b/>
                                <w:bCs/>
                                <w:color w:val="FFFFFF" w:themeColor="background1"/>
                              </w:rPr>
                              <w:t xml:space="preserve"> à l’adresse suivant</w:t>
                            </w:r>
                            <w:r w:rsidR="004F30FD">
                              <w:rPr>
                                <w:b/>
                                <w:bCs/>
                                <w:color w:val="FFFFFF" w:themeColor="background1"/>
                              </w:rPr>
                              <w:t xml:space="preserve">e </w:t>
                            </w:r>
                            <w:r w:rsidRPr="008A0818">
                              <w:rPr>
                                <w:b/>
                                <w:bCs/>
                                <w:color w:val="FFFFFF" w:themeColor="background1"/>
                              </w:rPr>
                              <w:t xml:space="preserve">: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04394173" w:rsidR="00C043C8" w:rsidRDefault="00C043C8" w:rsidP="00C043C8">
                      <w:pPr>
                        <w:pStyle w:val="Paragraphedeliste"/>
                        <w:jc w:val="center"/>
                        <w:rPr>
                          <w:b/>
                          <w:bCs/>
                          <w:color w:val="ED7D31" w:themeColor="accent2"/>
                        </w:rPr>
                      </w:pPr>
                      <w:r w:rsidRPr="008A0818">
                        <w:rPr>
                          <w:b/>
                          <w:bCs/>
                          <w:color w:val="FFFFFF" w:themeColor="background1"/>
                        </w:rPr>
                        <w:t>A envoy</w:t>
                      </w:r>
                      <w:r w:rsidR="004F30FD">
                        <w:rPr>
                          <w:b/>
                          <w:bCs/>
                          <w:color w:val="FFFFFF" w:themeColor="background1"/>
                        </w:rPr>
                        <w:t>er</w:t>
                      </w:r>
                      <w:r w:rsidRPr="008A0818">
                        <w:rPr>
                          <w:b/>
                          <w:bCs/>
                          <w:color w:val="FFFFFF" w:themeColor="background1"/>
                        </w:rPr>
                        <w:t xml:space="preserve"> à l’adresse suivant</w:t>
                      </w:r>
                      <w:r w:rsidR="004F30FD">
                        <w:rPr>
                          <w:b/>
                          <w:bCs/>
                          <w:color w:val="FFFFFF" w:themeColor="background1"/>
                        </w:rPr>
                        <w:t xml:space="preserve">e </w:t>
                      </w:r>
                      <w:r w:rsidRPr="008A0818">
                        <w:rPr>
                          <w:b/>
                          <w:bCs/>
                          <w:color w:val="FFFFFF" w:themeColor="background1"/>
                        </w:rPr>
                        <w:t xml:space="preserve">: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6E749A">
      <w:headerReference w:type="default" r:id="rId14"/>
      <w:footerReference w:type="default" r:id="rId15"/>
      <w:headerReference w:type="first" r:id="rId16"/>
      <w:footerReference w:type="first" r:id="rId17"/>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986FE" w14:textId="77777777" w:rsidR="00C85F3C" w:rsidRDefault="00C85F3C" w:rsidP="00C326A1">
      <w:r>
        <w:separator/>
      </w:r>
    </w:p>
  </w:endnote>
  <w:endnote w:type="continuationSeparator" w:id="0">
    <w:p w14:paraId="3CDE6C8E" w14:textId="77777777" w:rsidR="00C85F3C" w:rsidRDefault="00C85F3C"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F02D" w14:textId="780A49DD" w:rsidR="00C326A1" w:rsidRPr="00C326A1" w:rsidRDefault="00B9672E" w:rsidP="009B5F80">
    <w:pPr>
      <w:tabs>
        <w:tab w:val="right" w:pos="11056"/>
      </w:tabs>
      <w:ind w:left="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787881519" name="Image 787881519"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left:0;text-align:left;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787881519" name="Image 787881519"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D22363">
      <w:rPr>
        <w:i/>
        <w:iCs/>
        <w:color w:val="F4951E"/>
        <w:sz w:val="14"/>
        <w:szCs w:val="14"/>
      </w:rPr>
      <w:t xml:space="preserve">Télétravail </w:t>
    </w:r>
    <w:r w:rsidR="008A0818">
      <w:rPr>
        <w:i/>
        <w:iCs/>
        <w:color w:val="F4951E"/>
        <w:sz w:val="14"/>
        <w:szCs w:val="14"/>
      </w:rPr>
      <w:t>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D22363">
      <w:rPr>
        <w:i/>
        <w:iCs/>
        <w:color w:val="F4951E"/>
        <w:sz w:val="14"/>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406BF297"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D22363">
      <w:rPr>
        <w:i/>
        <w:iCs/>
        <w:color w:val="F4951E"/>
        <w:sz w:val="14"/>
        <w:szCs w:val="14"/>
      </w:rPr>
      <w:t>Télétravail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D22363">
      <w:rPr>
        <w:i/>
        <w:iCs/>
        <w:color w:val="F4951E"/>
        <w:sz w:val="14"/>
        <w:szCs w:val="14"/>
      </w:rPr>
      <w:t>2</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220B" w14:textId="77777777" w:rsidR="00C85F3C" w:rsidRDefault="00C85F3C" w:rsidP="00C326A1">
      <w:r>
        <w:separator/>
      </w:r>
    </w:p>
  </w:footnote>
  <w:footnote w:type="continuationSeparator" w:id="0">
    <w:p w14:paraId="13E451D2" w14:textId="77777777" w:rsidR="00C85F3C" w:rsidRDefault="00C85F3C"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0B1DD826">
              <wp:simplePos x="0" y="0"/>
              <wp:positionH relativeFrom="column">
                <wp:posOffset>6225540</wp:posOffset>
              </wp:positionH>
              <wp:positionV relativeFrom="paragraph">
                <wp:posOffset>133985</wp:posOffset>
              </wp:positionV>
              <wp:extent cx="829310" cy="263347"/>
              <wp:effectExtent l="0" t="0" r="27940" b="22860"/>
              <wp:wrapNone/>
              <wp:docPr id="765956344" name="Zone de texte 2"/>
              <wp:cNvGraphicFramePr/>
              <a:graphic xmlns:a="http://schemas.openxmlformats.org/drawingml/2006/main">
                <a:graphicData uri="http://schemas.microsoft.com/office/word/2010/wordprocessingShape">
                  <wps:wsp>
                    <wps:cNvSpPr txBox="1"/>
                    <wps:spPr>
                      <a:xfrm>
                        <a:off x="0" y="0"/>
                        <a:ext cx="829310" cy="263347"/>
                      </a:xfrm>
                      <a:prstGeom prst="rect">
                        <a:avLst/>
                      </a:prstGeom>
                      <a:solidFill>
                        <a:srgbClr val="232C57"/>
                      </a:solidFill>
                      <a:ln w="6350">
                        <a:solidFill>
                          <a:prstClr val="black"/>
                        </a:solidFill>
                      </a:ln>
                    </wps:spPr>
                    <wps:txbx>
                      <w:txbxContent>
                        <w:p w14:paraId="3797685B" w14:textId="75BD7D35" w:rsidR="007565D6" w:rsidRPr="00AD6E29" w:rsidRDefault="00D22363" w:rsidP="00AD6E29">
                          <w:pPr>
                            <w:rPr>
                              <w:sz w:val="20"/>
                              <w:szCs w:val="20"/>
                            </w:rPr>
                          </w:pPr>
                          <w:r>
                            <w:rPr>
                              <w:sz w:val="20"/>
                              <w:szCs w:val="20"/>
                            </w:rPr>
                            <w:t>Télétravail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490.2pt;margin-top:10.55pt;width:65.3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" fillcolor="#232c57" strokeweight=".5pt">
              <v:textbox>
                <w:txbxContent>
                  <w:p w14:paraId="3797685B" w14:textId="75BD7D35" w:rsidR="007565D6" w:rsidRPr="00AD6E29" w:rsidRDefault="00D22363" w:rsidP="00AD6E29">
                    <w:pPr>
                      <w:rPr>
                        <w:sz w:val="20"/>
                        <w:szCs w:val="20"/>
                      </w:rPr>
                    </w:pPr>
                    <w:r>
                      <w:rPr>
                        <w:sz w:val="20"/>
                        <w:szCs w:val="20"/>
                      </w:rPr>
                      <w:t>Télétravail</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82DE" id="_x0000_t202" coordsize="21600,21600" o:spt="202" path="m,l,21600r21600,l21600,xe">
              <v:stroke joinstyle="miter"/>
              <v:path gradientshapeok="t" o:connecttype="rect"/>
            </v:shapetype>
            <v:shap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E7E8A"/>
    <w:multiLevelType w:val="hybridMultilevel"/>
    <w:tmpl w:val="A28AF37C"/>
    <w:lvl w:ilvl="0" w:tplc="766A66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95722D"/>
    <w:multiLevelType w:val="hybridMultilevel"/>
    <w:tmpl w:val="F94685E0"/>
    <w:lvl w:ilvl="0" w:tplc="971EC2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7040D95"/>
    <w:multiLevelType w:val="hybridMultilevel"/>
    <w:tmpl w:val="7ADCE4F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4"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06113DF"/>
    <w:multiLevelType w:val="hybridMultilevel"/>
    <w:tmpl w:val="4CCEEF86"/>
    <w:lvl w:ilvl="0" w:tplc="6436F8E6">
      <w:numFmt w:val="bullet"/>
      <w:lvlText w:val="-"/>
      <w:lvlJc w:val="left"/>
      <w:pPr>
        <w:ind w:left="354" w:hanging="360"/>
      </w:pPr>
      <w:rPr>
        <w:rFonts w:ascii="Calibri" w:eastAsiaTheme="minorEastAsia"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17"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3"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D56A5"/>
    <w:multiLevelType w:val="hybridMultilevel"/>
    <w:tmpl w:val="1ECA8F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31"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6"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4"/>
  </w:num>
  <w:num w:numId="2" w16cid:durableId="1395546049">
    <w:abstractNumId w:val="19"/>
  </w:num>
  <w:num w:numId="3" w16cid:durableId="1260404714">
    <w:abstractNumId w:val="8"/>
  </w:num>
  <w:num w:numId="4" w16cid:durableId="1651904270">
    <w:abstractNumId w:val="11"/>
  </w:num>
  <w:num w:numId="5" w16cid:durableId="1341197562">
    <w:abstractNumId w:val="29"/>
  </w:num>
  <w:num w:numId="6" w16cid:durableId="161698899">
    <w:abstractNumId w:val="36"/>
  </w:num>
  <w:num w:numId="7" w16cid:durableId="1786537435">
    <w:abstractNumId w:val="22"/>
  </w:num>
  <w:num w:numId="8" w16cid:durableId="984119161">
    <w:abstractNumId w:val="30"/>
  </w:num>
  <w:num w:numId="9" w16cid:durableId="1787118705">
    <w:abstractNumId w:val="35"/>
  </w:num>
  <w:num w:numId="10" w16cid:durableId="1337152786">
    <w:abstractNumId w:val="27"/>
  </w:num>
  <w:num w:numId="11" w16cid:durableId="1432310731">
    <w:abstractNumId w:val="24"/>
  </w:num>
  <w:num w:numId="12" w16cid:durableId="2085030997">
    <w:abstractNumId w:val="15"/>
  </w:num>
  <w:num w:numId="13" w16cid:durableId="454640481">
    <w:abstractNumId w:val="18"/>
  </w:num>
  <w:num w:numId="14" w16cid:durableId="988094122">
    <w:abstractNumId w:val="31"/>
  </w:num>
  <w:num w:numId="15" w16cid:durableId="1632787256">
    <w:abstractNumId w:val="20"/>
  </w:num>
  <w:num w:numId="16" w16cid:durableId="1569219465">
    <w:abstractNumId w:val="14"/>
  </w:num>
  <w:num w:numId="17" w16cid:durableId="2044014591">
    <w:abstractNumId w:val="10"/>
  </w:num>
  <w:num w:numId="18" w16cid:durableId="1587301722">
    <w:abstractNumId w:val="12"/>
  </w:num>
  <w:num w:numId="19" w16cid:durableId="827474646">
    <w:abstractNumId w:val="32"/>
  </w:num>
  <w:num w:numId="20" w16cid:durableId="1604000042">
    <w:abstractNumId w:val="33"/>
  </w:num>
  <w:num w:numId="21" w16cid:durableId="357657821">
    <w:abstractNumId w:val="25"/>
  </w:num>
  <w:num w:numId="22" w16cid:durableId="1463114221">
    <w:abstractNumId w:val="4"/>
  </w:num>
  <w:num w:numId="23" w16cid:durableId="1860503625">
    <w:abstractNumId w:val="1"/>
  </w:num>
  <w:num w:numId="24" w16cid:durableId="868375118">
    <w:abstractNumId w:val="28"/>
  </w:num>
  <w:num w:numId="25" w16cid:durableId="1020661577">
    <w:abstractNumId w:val="2"/>
  </w:num>
  <w:num w:numId="26" w16cid:durableId="508251105">
    <w:abstractNumId w:val="21"/>
  </w:num>
  <w:num w:numId="27" w16cid:durableId="642076675">
    <w:abstractNumId w:val="23"/>
  </w:num>
  <w:num w:numId="28" w16cid:durableId="1190024737">
    <w:abstractNumId w:val="13"/>
  </w:num>
  <w:num w:numId="29" w16cid:durableId="1777746393">
    <w:abstractNumId w:val="0"/>
  </w:num>
  <w:num w:numId="30" w16cid:durableId="569392392">
    <w:abstractNumId w:val="5"/>
  </w:num>
  <w:num w:numId="31" w16cid:durableId="645159389">
    <w:abstractNumId w:val="17"/>
  </w:num>
  <w:num w:numId="32" w16cid:durableId="1718430333">
    <w:abstractNumId w:val="3"/>
  </w:num>
  <w:num w:numId="33" w16cid:durableId="685057374">
    <w:abstractNumId w:val="6"/>
  </w:num>
  <w:num w:numId="34" w16cid:durableId="635255965">
    <w:abstractNumId w:val="7"/>
  </w:num>
  <w:num w:numId="35" w16cid:durableId="1650011186">
    <w:abstractNumId w:val="9"/>
  </w:num>
  <w:num w:numId="36" w16cid:durableId="1067920345">
    <w:abstractNumId w:val="26"/>
  </w:num>
  <w:num w:numId="37" w16cid:durableId="9717872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D1F50"/>
    <w:rsid w:val="000D1F85"/>
    <w:rsid w:val="00161CBD"/>
    <w:rsid w:val="00183D80"/>
    <w:rsid w:val="00195434"/>
    <w:rsid w:val="001A123D"/>
    <w:rsid w:val="001B3097"/>
    <w:rsid w:val="002120A1"/>
    <w:rsid w:val="00233CEB"/>
    <w:rsid w:val="00233F11"/>
    <w:rsid w:val="002E1D56"/>
    <w:rsid w:val="00322F15"/>
    <w:rsid w:val="003A0E1C"/>
    <w:rsid w:val="003C728E"/>
    <w:rsid w:val="00400EED"/>
    <w:rsid w:val="00404FA6"/>
    <w:rsid w:val="00412F5A"/>
    <w:rsid w:val="004317BA"/>
    <w:rsid w:val="00464553"/>
    <w:rsid w:val="00486CA5"/>
    <w:rsid w:val="004F30FD"/>
    <w:rsid w:val="00501FEA"/>
    <w:rsid w:val="00531194"/>
    <w:rsid w:val="00541E3B"/>
    <w:rsid w:val="00574028"/>
    <w:rsid w:val="00580747"/>
    <w:rsid w:val="005954A4"/>
    <w:rsid w:val="005A4FB1"/>
    <w:rsid w:val="005D2892"/>
    <w:rsid w:val="00611C4C"/>
    <w:rsid w:val="0063273F"/>
    <w:rsid w:val="00672221"/>
    <w:rsid w:val="006C145C"/>
    <w:rsid w:val="006E749A"/>
    <w:rsid w:val="0070653D"/>
    <w:rsid w:val="00715574"/>
    <w:rsid w:val="00732B07"/>
    <w:rsid w:val="00742283"/>
    <w:rsid w:val="007558E5"/>
    <w:rsid w:val="007565D6"/>
    <w:rsid w:val="00786076"/>
    <w:rsid w:val="007B5B64"/>
    <w:rsid w:val="007E2009"/>
    <w:rsid w:val="007F74F3"/>
    <w:rsid w:val="008274D9"/>
    <w:rsid w:val="00851783"/>
    <w:rsid w:val="00860CDF"/>
    <w:rsid w:val="008767C3"/>
    <w:rsid w:val="00892994"/>
    <w:rsid w:val="008A0818"/>
    <w:rsid w:val="008B57B0"/>
    <w:rsid w:val="008C0B8A"/>
    <w:rsid w:val="008C3E13"/>
    <w:rsid w:val="00924BDC"/>
    <w:rsid w:val="00925CE5"/>
    <w:rsid w:val="0092679C"/>
    <w:rsid w:val="00935A9D"/>
    <w:rsid w:val="009B5F80"/>
    <w:rsid w:val="009E3051"/>
    <w:rsid w:val="009F6039"/>
    <w:rsid w:val="00AD11A4"/>
    <w:rsid w:val="00AD6E29"/>
    <w:rsid w:val="00B307D5"/>
    <w:rsid w:val="00B3616C"/>
    <w:rsid w:val="00B844EB"/>
    <w:rsid w:val="00B9672E"/>
    <w:rsid w:val="00BF6CA1"/>
    <w:rsid w:val="00C043C8"/>
    <w:rsid w:val="00C124DE"/>
    <w:rsid w:val="00C326A1"/>
    <w:rsid w:val="00C523D2"/>
    <w:rsid w:val="00C85F3C"/>
    <w:rsid w:val="00C86677"/>
    <w:rsid w:val="00CC3F15"/>
    <w:rsid w:val="00CD4CFC"/>
    <w:rsid w:val="00D22363"/>
    <w:rsid w:val="00D32488"/>
    <w:rsid w:val="00D64AE8"/>
    <w:rsid w:val="00DB592F"/>
    <w:rsid w:val="00DD2898"/>
    <w:rsid w:val="00EA6429"/>
    <w:rsid w:val="00EC0DA4"/>
    <w:rsid w:val="00F41045"/>
    <w:rsid w:val="00F4707E"/>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F4707E"/>
    <w:pPr>
      <w:spacing w:after="120"/>
    </w:pPr>
    <w:rPr>
      <w:sz w:val="16"/>
      <w:szCs w:val="16"/>
    </w:rPr>
  </w:style>
  <w:style w:type="character" w:customStyle="1" w:styleId="Corpsdetexte3Car">
    <w:name w:val="Corps de texte 3 Car"/>
    <w:basedOn w:val="Policepardfaut"/>
    <w:link w:val="Corpsdetexte3"/>
    <w:uiPriority w:val="99"/>
    <w:rsid w:val="00F4707E"/>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g58.com/pages/comite-techniq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3</cp:revision>
  <dcterms:created xsi:type="dcterms:W3CDTF">2024-04-29T13:03:00Z</dcterms:created>
  <dcterms:modified xsi:type="dcterms:W3CDTF">2024-07-24T13:43:00Z</dcterms:modified>
</cp:coreProperties>
</file>