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5C47BA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LOGO COLLECTIVITE</w:t>
                            </w:r>
                            <w:r w:rsidR="003440A4" w:rsidRPr="005C47BA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5C47BA">
                        <w:rPr>
                          <w:rFonts w:cstheme="minorHAnsi"/>
                          <w:noProof/>
                          <w:sz w:val="28"/>
                          <w:szCs w:val="28"/>
                          <w:highlight w:val="yellow"/>
                        </w:rPr>
                        <w:t>LOGO COLLECTIVITE</w:t>
                      </w:r>
                      <w:r w:rsidR="003440A4" w:rsidRPr="005C47BA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0FFB08E0" w14:textId="77777777" w:rsidR="00B93E60" w:rsidRPr="00567FE1" w:rsidRDefault="00B93E60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1E81A1DD" w:rsidR="00D635B9" w:rsidRPr="0046653A" w:rsidRDefault="00972085" w:rsidP="00D635B9">
      <w:pPr>
        <w:pBdr>
          <w:bottom w:val="single" w:sz="4" w:space="1" w:color="auto"/>
        </w:pBdr>
        <w:rPr>
          <w:b/>
          <w:bCs/>
          <w:color w:val="000000" w:themeColor="text1"/>
          <w:sz w:val="28"/>
          <w:szCs w:val="28"/>
        </w:rPr>
      </w:pPr>
      <w:r w:rsidRPr="0046653A">
        <w:rPr>
          <w:b/>
          <w:bCs/>
          <w:color w:val="000000" w:themeColor="text1"/>
          <w:sz w:val="28"/>
          <w:szCs w:val="28"/>
          <w:highlight w:val="yellow"/>
        </w:rPr>
        <w:t>NOM ASSEMBL</w:t>
      </w:r>
      <w:r w:rsidR="004B4F17" w:rsidRPr="0046653A">
        <w:rPr>
          <w:b/>
          <w:bCs/>
          <w:color w:val="000000" w:themeColor="text1"/>
          <w:sz w:val="28"/>
          <w:szCs w:val="28"/>
          <w:highlight w:val="yellow"/>
        </w:rPr>
        <w:t>É</w:t>
      </w:r>
      <w:r w:rsidRPr="0046653A">
        <w:rPr>
          <w:b/>
          <w:bCs/>
          <w:color w:val="000000" w:themeColor="text1"/>
          <w:sz w:val="28"/>
          <w:szCs w:val="28"/>
          <w:highlight w:val="yellow"/>
        </w:rPr>
        <w:t>E D</w:t>
      </w:r>
      <w:r w:rsidR="00447D9A">
        <w:rPr>
          <w:b/>
          <w:bCs/>
          <w:color w:val="000000" w:themeColor="text1"/>
          <w:sz w:val="28"/>
          <w:szCs w:val="28"/>
          <w:highlight w:val="yellow"/>
        </w:rPr>
        <w:t>É</w:t>
      </w:r>
      <w:r w:rsidRPr="0046653A">
        <w:rPr>
          <w:b/>
          <w:bCs/>
          <w:color w:val="000000" w:themeColor="text1"/>
          <w:sz w:val="28"/>
          <w:szCs w:val="28"/>
          <w:highlight w:val="yellow"/>
        </w:rPr>
        <w:t>LIBERANTE</w:t>
      </w:r>
      <w:r w:rsidR="00D635B9" w:rsidRPr="0046653A">
        <w:rPr>
          <w:b/>
          <w:bCs/>
          <w:color w:val="000000" w:themeColor="text1"/>
          <w:sz w:val="28"/>
          <w:szCs w:val="28"/>
        </w:rPr>
        <w:t xml:space="preserve"> </w:t>
      </w:r>
      <w:r w:rsidR="00D635B9" w:rsidRPr="0046653A">
        <w:rPr>
          <w:b/>
          <w:bCs/>
          <w:color w:val="000000" w:themeColor="text1"/>
          <w:sz w:val="28"/>
          <w:szCs w:val="28"/>
        </w:rPr>
        <w:br/>
      </w:r>
      <w:r w:rsidRPr="0046653A">
        <w:rPr>
          <w:b/>
          <w:bCs/>
          <w:color w:val="000000" w:themeColor="text1"/>
          <w:sz w:val="28"/>
          <w:szCs w:val="28"/>
          <w:highlight w:val="yellow"/>
        </w:rPr>
        <w:t>DATE</w:t>
      </w:r>
    </w:p>
    <w:p w14:paraId="17D4BF2C" w14:textId="0B426FD0" w:rsidR="00D635B9" w:rsidRPr="00B93E60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32"/>
          <w:szCs w:val="32"/>
          <w:lang w:val="fr-FR"/>
        </w:rPr>
      </w:pPr>
      <w:r w:rsidRPr="00B93E60">
        <w:rPr>
          <w:rFonts w:cs="Calibri"/>
          <w:b/>
          <w:bCs/>
          <w:color w:val="232C57"/>
          <w:sz w:val="32"/>
          <w:szCs w:val="32"/>
        </w:rPr>
        <w:t>D</w:t>
      </w:r>
      <w:r w:rsidR="00447D9A">
        <w:rPr>
          <w:rFonts w:cs="Calibri"/>
          <w:b/>
          <w:bC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olor w:val="232C57"/>
          <w:sz w:val="32"/>
          <w:szCs w:val="32"/>
        </w:rPr>
        <w:t>LIBERATION</w:t>
      </w:r>
      <w:r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  <w:r w:rsidR="00972085" w:rsidRPr="00B93E60">
        <w:rPr>
          <w:rFonts w:cs="Calibri"/>
          <w:b/>
          <w:bCs/>
          <w:color w:val="232C57"/>
          <w:sz w:val="32"/>
          <w:szCs w:val="32"/>
          <w:highlight w:val="yellow"/>
          <w:lang w:val="fr-FR"/>
        </w:rPr>
        <w:t>n° XX</w:t>
      </w:r>
      <w:r w:rsidR="00972085"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</w:p>
    <w:p w14:paraId="286D84D6" w14:textId="77777777" w:rsidR="00B93E60" w:rsidRPr="006A41D9" w:rsidRDefault="00B93E6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31A7588E" w14:textId="07A2CC4D" w:rsidR="0053045A" w:rsidRPr="00B93E60" w:rsidRDefault="00775982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32"/>
          <w:szCs w:val="32"/>
        </w:rPr>
      </w:pPr>
      <w:bookmarkStart w:id="1" w:name="_Hlk199834844"/>
      <w:bookmarkStart w:id="2" w:name="_Hlk205800426"/>
      <w:bookmarkStart w:id="3" w:name="_Hlk117780852"/>
      <w:r w:rsidRPr="00B93E60">
        <w:rPr>
          <w:rFonts w:cs="Calibri"/>
          <w:b/>
          <w:bCs/>
          <w:caps/>
          <w:color w:val="232C57"/>
          <w:sz w:val="32"/>
          <w:szCs w:val="32"/>
        </w:rPr>
        <w:t>ADH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SION 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À la convention de participation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DU CENTRE DE GESTION EN </w:t>
      </w:r>
      <w:r w:rsidRPr="008E62E5">
        <w:rPr>
          <w:rFonts w:cs="Calibri"/>
          <w:b/>
          <w:bCs/>
          <w:caps/>
          <w:color w:val="232C57"/>
          <w:sz w:val="32"/>
          <w:szCs w:val="32"/>
          <w:highlight w:val="yellow"/>
        </w:rPr>
        <w:t>PR</w:t>
      </w:r>
      <w:r w:rsidR="00E9451A" w:rsidRPr="008E62E5">
        <w:rPr>
          <w:rFonts w:cs="Calibri"/>
          <w:b/>
          <w:bCs/>
          <w:caps/>
          <w:color w:val="232C57"/>
          <w:sz w:val="32"/>
          <w:szCs w:val="32"/>
          <w:highlight w:val="yellow"/>
        </w:rPr>
        <w:t>É</w:t>
      </w:r>
      <w:r w:rsidRPr="008E62E5">
        <w:rPr>
          <w:rFonts w:cs="Calibri"/>
          <w:b/>
          <w:bCs/>
          <w:caps/>
          <w:color w:val="232C57"/>
          <w:sz w:val="32"/>
          <w:szCs w:val="32"/>
          <w:highlight w:val="yellow"/>
        </w:rPr>
        <w:t>VOYANC</w:t>
      </w:r>
      <w:bookmarkEnd w:id="1"/>
      <w:r w:rsidR="00E9451A" w:rsidRPr="008E62E5">
        <w:rPr>
          <w:rFonts w:cs="Calibri"/>
          <w:b/>
          <w:bCs/>
          <w:caps/>
          <w:color w:val="232C57"/>
          <w:sz w:val="32"/>
          <w:szCs w:val="32"/>
          <w:highlight w:val="yellow"/>
        </w:rPr>
        <w:t>e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(2026-2031)</w:t>
      </w:r>
    </w:p>
    <w:p w14:paraId="136619DF" w14:textId="360AE7A3" w:rsidR="00CE2174" w:rsidRPr="002D20E2" w:rsidRDefault="00CE2174" w:rsidP="00CE2174">
      <w:pPr>
        <w:pStyle w:val="Corpsdetexte"/>
        <w:spacing w:after="80"/>
        <w:jc w:val="center"/>
        <w:rPr>
          <w:rFonts w:asciiTheme="minorHAnsi" w:hAnsiTheme="minorHAnsi" w:cstheme="minorHAnsi"/>
          <w:color w:val="232C57"/>
          <w:sz w:val="28"/>
          <w:szCs w:val="28"/>
        </w:rPr>
      </w:pPr>
      <w:r w:rsidRPr="0057372D">
        <w:rPr>
          <w:rFonts w:asciiTheme="minorHAnsi" w:hAnsiTheme="minorHAnsi" w:cstheme="minorHAnsi"/>
          <w:color w:val="232C57"/>
          <w:sz w:val="28"/>
          <w:szCs w:val="28"/>
          <w:highlight w:val="yellow"/>
        </w:rPr>
        <w:t>(Sans CST propre)</w:t>
      </w:r>
    </w:p>
    <w:p w14:paraId="344C67EA" w14:textId="77777777" w:rsidR="00B93E60" w:rsidRDefault="00B93E60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2"/>
    <w:p w14:paraId="202A526D" w14:textId="77777777" w:rsidR="00E9451A" w:rsidRPr="00E9451A" w:rsidRDefault="00E9451A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3"/>
    <w:p w14:paraId="73F9F706" w14:textId="03B17228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972085">
        <w:rPr>
          <w:rFonts w:cs="Calibri"/>
          <w:highlight w:val="yellow"/>
        </w:rPr>
        <w:t xml:space="preserve">Le </w:t>
      </w:r>
      <w:r w:rsidRPr="00972085">
        <w:rPr>
          <w:rFonts w:cs="Calibri"/>
          <w:highlight w:val="yellow"/>
          <w:lang w:val="fr-FR"/>
        </w:rPr>
        <w:t>vingt et un mars deux mille vingt-</w:t>
      </w:r>
      <w:r w:rsidR="00D658EA">
        <w:rPr>
          <w:rFonts w:cs="Calibri"/>
          <w:highlight w:val="yellow"/>
          <w:lang w:val="fr-FR"/>
        </w:rPr>
        <w:t>cinq</w:t>
      </w:r>
      <w:r w:rsidRPr="00972085">
        <w:rPr>
          <w:rFonts w:cs="Calibri"/>
          <w:highlight w:val="yellow"/>
        </w:rPr>
        <w:t xml:space="preserve">, à </w:t>
      </w:r>
      <w:r w:rsidRPr="00972085">
        <w:rPr>
          <w:rFonts w:cs="Calibri"/>
          <w:highlight w:val="yellow"/>
          <w:lang w:val="fr-FR"/>
        </w:rPr>
        <w:t>neuf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 w:rsidRPr="00447D9A">
        <w:rPr>
          <w:rFonts w:cs="Calibri"/>
          <w:highlight w:val="yellow"/>
          <w:lang w:val="fr-FR"/>
        </w:rPr>
        <w:t>salle des fêtes</w:t>
      </w:r>
      <w:r w:rsidR="00447D9A">
        <w:rPr>
          <w:rFonts w:cs="Calibri"/>
          <w:lang w:val="fr-FR"/>
        </w:rPr>
        <w:t xml:space="preserve"> de</w:t>
      </w:r>
      <w:r>
        <w:rPr>
          <w:rFonts w:cs="Calibri"/>
          <w:lang w:val="fr-FR"/>
        </w:rPr>
        <w:t xml:space="preserve"> </w:t>
      </w:r>
      <w:r w:rsidR="00972085" w:rsidRPr="00972085">
        <w:rPr>
          <w:rFonts w:cs="Calibri"/>
          <w:highlight w:val="yellow"/>
          <w:lang w:val="fr-FR"/>
        </w:rPr>
        <w:t>………………………</w:t>
      </w:r>
      <w:r>
        <w:rPr>
          <w:rFonts w:cs="Calibri"/>
          <w:lang w:val="fr-FR"/>
        </w:rPr>
        <w:t xml:space="preserve"> à </w:t>
      </w:r>
      <w:r w:rsidR="00972085" w:rsidRPr="00972085">
        <w:rPr>
          <w:rFonts w:cs="Calibri"/>
          <w:highlight w:val="yellow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EE53D3">
        <w:rPr>
          <w:rFonts w:cs="Calibri"/>
          <w:highlight w:val="yellow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EE53D3">
        <w:rPr>
          <w:rFonts w:cs="Calibri"/>
          <w:highlight w:val="yellow"/>
        </w:rPr>
        <w:t>Madame, Monsieur …………….</w:t>
      </w:r>
      <w:r w:rsidR="00972085">
        <w:rPr>
          <w:rFonts w:cs="Calibri"/>
        </w:rPr>
        <w:t xml:space="preserve"> </w:t>
      </w:r>
      <w:r w:rsidRPr="007149F1">
        <w:rPr>
          <w:rFonts w:cs="Calibri"/>
        </w:rPr>
        <w:t xml:space="preserve">, </w:t>
      </w:r>
      <w:r w:rsidRPr="009612FC">
        <w:rPr>
          <w:rFonts w:cs="Calibri"/>
          <w:highlight w:val="yellow"/>
          <w:lang w:val="fr-FR"/>
        </w:rPr>
        <w:t>Maire</w:t>
      </w:r>
      <w:r w:rsidR="00972085" w:rsidRPr="009612FC">
        <w:rPr>
          <w:rFonts w:cs="Calibri"/>
          <w:highlight w:val="yellow"/>
          <w:lang w:val="fr-FR"/>
        </w:rPr>
        <w:t>/</w:t>
      </w:r>
      <w:proofErr w:type="spellStart"/>
      <w:r w:rsidR="00972085" w:rsidRPr="009612FC">
        <w:rPr>
          <w:rFonts w:cs="Calibri"/>
          <w:highlight w:val="yellow"/>
          <w:lang w:val="fr-FR"/>
        </w:rPr>
        <w:t>Président</w:t>
      </w:r>
      <w:r w:rsidR="00005F7C" w:rsidRPr="00005F7C">
        <w:rPr>
          <w:rFonts w:cs="Calibri"/>
          <w:highlight w:val="yellow"/>
          <w:lang w:val="fr-FR"/>
        </w:rPr>
        <w:t>.e</w:t>
      </w:r>
      <w:proofErr w:type="spellEnd"/>
      <w:r w:rsidR="00972085">
        <w:rPr>
          <w:rFonts w:cs="Calibri"/>
          <w:lang w:val="fr-FR"/>
        </w:rPr>
        <w:t xml:space="preserve"> de </w:t>
      </w:r>
      <w:r w:rsidR="00972085" w:rsidRPr="00972085">
        <w:rPr>
          <w:rFonts w:cs="Calibri"/>
          <w:highlight w:val="yellow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972085">
        <w:rPr>
          <w:rFonts w:cs="Calibri"/>
          <w:highlight w:val="yellow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037342BF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</w:t>
      </w:r>
      <w:r w:rsidR="00627331">
        <w:rPr>
          <w:rFonts w:cstheme="minorHAnsi"/>
          <w:u w:val="single"/>
        </w:rPr>
        <w:t>à l’assemblée</w:t>
      </w:r>
      <w:r>
        <w:rPr>
          <w:rFonts w:cstheme="minorHAnsi"/>
          <w:u w:val="single"/>
        </w:rPr>
        <w:t xml:space="preserve">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14B0A495" w14:textId="77777777" w:rsidR="00444758" w:rsidRDefault="00444758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  <w:bookmarkStart w:id="4" w:name="_Hlk150844381"/>
    </w:p>
    <w:p w14:paraId="304FDC97" w14:textId="77777777" w:rsidR="00444758" w:rsidRDefault="00444758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</w:p>
    <w:p w14:paraId="22B2F0D6" w14:textId="284625F9" w:rsidR="00E9451A" w:rsidRPr="00E9451A" w:rsidRDefault="00E05E2C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bCs/>
          <w:caps/>
          <w:sz w:val="24"/>
          <w:szCs w:val="24"/>
        </w:rPr>
      </w:pPr>
      <w:r w:rsidRPr="001E67C6">
        <w:rPr>
          <w:rFonts w:cs="Calibri"/>
          <w:b/>
          <w:sz w:val="24"/>
          <w:szCs w:val="24"/>
          <w:highlight w:val="yellow"/>
          <w:lang w:val="fr"/>
        </w:rPr>
        <w:t>D</w:t>
      </w:r>
      <w:r w:rsidR="00447D9A">
        <w:rPr>
          <w:rFonts w:cs="Calibri"/>
          <w:b/>
          <w:sz w:val="24"/>
          <w:szCs w:val="24"/>
          <w:highlight w:val="yellow"/>
          <w:lang w:val="fr"/>
        </w:rPr>
        <w:t>É</w:t>
      </w:r>
      <w:r w:rsidRPr="001E67C6">
        <w:rPr>
          <w:rFonts w:cs="Calibri"/>
          <w:b/>
          <w:sz w:val="24"/>
          <w:szCs w:val="24"/>
          <w:highlight w:val="yellow"/>
          <w:lang w:val="fr"/>
        </w:rPr>
        <w:t xml:space="preserve">LIBERATION </w:t>
      </w:r>
      <w:r w:rsidR="00393654" w:rsidRPr="001E67C6">
        <w:rPr>
          <w:rFonts w:cs="Calibri"/>
          <w:b/>
          <w:sz w:val="24"/>
          <w:szCs w:val="24"/>
          <w:highlight w:val="yellow"/>
          <w:lang w:val="fr"/>
        </w:rPr>
        <w:t>n° XX</w:t>
      </w:r>
      <w:r w:rsidRPr="00E9451A">
        <w:rPr>
          <w:rFonts w:cs="Calibri"/>
          <w:b/>
          <w:sz w:val="24"/>
          <w:szCs w:val="24"/>
          <w:lang w:val="fr"/>
        </w:rPr>
        <w:t xml:space="preserve"> </w:t>
      </w:r>
      <w:r w:rsidR="004F5E12" w:rsidRPr="00E9451A">
        <w:rPr>
          <w:rFonts w:cs="Calibri"/>
          <w:b/>
          <w:sz w:val="24"/>
          <w:szCs w:val="24"/>
          <w:lang w:val="fr"/>
        </w:rPr>
        <w:t>–</w:t>
      </w:r>
      <w:r w:rsidR="00D635B9" w:rsidRPr="00E9451A">
        <w:rPr>
          <w:rFonts w:cs="Calibri"/>
          <w:b/>
          <w:sz w:val="24"/>
          <w:szCs w:val="24"/>
          <w:lang w:val="fr"/>
        </w:rPr>
        <w:t xml:space="preserve"> </w:t>
      </w:r>
      <w:bookmarkStart w:id="5" w:name="_Hlk150845042"/>
      <w:bookmarkEnd w:id="4"/>
      <w:r w:rsidR="00E9451A" w:rsidRPr="00E9451A">
        <w:rPr>
          <w:rFonts w:cs="Calibri"/>
          <w:b/>
          <w:bCs/>
          <w:caps/>
          <w:sz w:val="24"/>
          <w:szCs w:val="24"/>
        </w:rPr>
        <w:t>ADHÉSION À LA CONVENTION DE PARTICIPATION DU CENTRE DE</w:t>
      </w:r>
      <w:r w:rsidR="00E9451A">
        <w:rPr>
          <w:rFonts w:cs="Calibri"/>
          <w:b/>
          <w:bCs/>
          <w:caps/>
          <w:sz w:val="24"/>
          <w:szCs w:val="24"/>
        </w:rPr>
        <w:t xml:space="preserve"> </w:t>
      </w:r>
      <w:r w:rsidR="00E9451A" w:rsidRPr="00E9451A">
        <w:rPr>
          <w:rFonts w:cs="Calibri"/>
          <w:b/>
          <w:bCs/>
          <w:caps/>
          <w:sz w:val="24"/>
          <w:szCs w:val="24"/>
        </w:rPr>
        <w:t>GESTION EN PRÉVOYANCE (2026-2031)</w:t>
      </w:r>
    </w:p>
    <w:p w14:paraId="5EA47A9C" w14:textId="77777777" w:rsidR="00E9451A" w:rsidRDefault="00E9451A" w:rsidP="00C63000">
      <w:pPr>
        <w:jc w:val="both"/>
      </w:pPr>
    </w:p>
    <w:p w14:paraId="3D427489" w14:textId="2028D511" w:rsidR="00627331" w:rsidRDefault="00627331" w:rsidP="00C63000">
      <w:pPr>
        <w:jc w:val="both"/>
      </w:pPr>
      <w:r>
        <w:t xml:space="preserve">Vu le </w:t>
      </w:r>
      <w:r w:rsidR="00E9451A">
        <w:t>C</w:t>
      </w:r>
      <w:r>
        <w:t xml:space="preserve">ode des assurances, de la mutualité et de la sécurité sociale, </w:t>
      </w:r>
    </w:p>
    <w:p w14:paraId="6EC06F1A" w14:textId="2666188D" w:rsidR="00C63000" w:rsidRDefault="00C63000" w:rsidP="00C63000">
      <w:pPr>
        <w:jc w:val="both"/>
        <w:rPr>
          <w:rFonts w:ascii="Calibri" w:hAnsi="Calibri" w:cs="Calibri"/>
        </w:rPr>
      </w:pPr>
      <w:r>
        <w:t xml:space="preserve">Vu le Code </w:t>
      </w:r>
      <w:r w:rsidR="00E9451A">
        <w:t>g</w:t>
      </w:r>
      <w:r>
        <w:t xml:space="preserve">énéral de la </w:t>
      </w:r>
      <w:r w:rsidR="00E9451A">
        <w:t>f</w:t>
      </w:r>
      <w:r>
        <w:t xml:space="preserve">onction </w:t>
      </w:r>
      <w:r w:rsidR="00E9451A">
        <w:t>p</w:t>
      </w:r>
      <w:r>
        <w:t>ublique, notamment à ses articles L. 221-4, L. 827-7 et L. 827-8 ;</w:t>
      </w:r>
      <w:r>
        <w:rPr>
          <w:rFonts w:ascii="Calibri" w:hAnsi="Calibri" w:cs="Calibri"/>
        </w:rPr>
        <w:t xml:space="preserve"> </w:t>
      </w:r>
    </w:p>
    <w:p w14:paraId="55B53987" w14:textId="6C14E650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>Vu l’</w:t>
      </w:r>
      <w:r w:rsidR="00E9451A">
        <w:rPr>
          <w:rFonts w:cstheme="minorHAnsi"/>
        </w:rPr>
        <w:t>O</w:t>
      </w:r>
      <w:r w:rsidRPr="00A64588">
        <w:rPr>
          <w:rFonts w:cstheme="minorHAnsi"/>
        </w:rPr>
        <w:t xml:space="preserve">rdonnance n° 2021-175 du 17 février 2021 ; </w:t>
      </w:r>
    </w:p>
    <w:p w14:paraId="280C4AAF" w14:textId="5F197165" w:rsidR="00C63000" w:rsidRDefault="00C63000" w:rsidP="00C63000">
      <w:pPr>
        <w:spacing w:after="0" w:line="240" w:lineRule="auto"/>
        <w:jc w:val="both"/>
      </w:pPr>
      <w:r w:rsidRPr="00282238">
        <w:t xml:space="preserve">Vu le </w:t>
      </w:r>
      <w:r>
        <w:t>D</w:t>
      </w:r>
      <w:r w:rsidRPr="00282238">
        <w:t>écret n° 2011-1</w:t>
      </w:r>
      <w:r w:rsidR="00906D96">
        <w:t>4</w:t>
      </w:r>
      <w:r w:rsidRPr="00282238">
        <w:t>74 du 8 novembre 2011</w:t>
      </w:r>
      <w:r>
        <w:t> ;</w:t>
      </w:r>
    </w:p>
    <w:p w14:paraId="7A99D544" w14:textId="77777777" w:rsidR="00C63000" w:rsidRDefault="00C63000" w:rsidP="00C63000">
      <w:pPr>
        <w:spacing w:after="0" w:line="240" w:lineRule="auto"/>
        <w:jc w:val="both"/>
      </w:pPr>
    </w:p>
    <w:p w14:paraId="7A978CA8" w14:textId="0D5CBC8A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 xml:space="preserve">Vu le </w:t>
      </w:r>
      <w:r w:rsidR="00E9451A">
        <w:rPr>
          <w:rFonts w:cstheme="minorHAnsi"/>
        </w:rPr>
        <w:t>D</w:t>
      </w:r>
      <w:r w:rsidRPr="00A64588">
        <w:rPr>
          <w:rFonts w:cstheme="minorHAnsi"/>
        </w:rPr>
        <w:t xml:space="preserve">écret n° 2022-581 du 20 avril 2022 ;  </w:t>
      </w:r>
    </w:p>
    <w:p w14:paraId="0A719888" w14:textId="695113D8" w:rsidR="00D658EA" w:rsidRPr="00D658EA" w:rsidRDefault="00D658EA" w:rsidP="00D658E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le lancement par le Centre de Gestion de la Nièvre d’une procédure de consultation pour la réalisation d’une convention de participation en </w:t>
      </w:r>
      <w:r>
        <w:rPr>
          <w:rFonts w:eastAsia="Calibri" w:cstheme="minorHAnsi"/>
        </w:rPr>
        <w:t>prévoyance</w:t>
      </w:r>
      <w:r w:rsidRPr="00D658EA">
        <w:rPr>
          <w:rFonts w:eastAsia="Calibri" w:cstheme="minorHAnsi"/>
        </w:rPr>
        <w:t>, pour le compte des collectivités et établissements publics du département de la Nièvre ;</w:t>
      </w:r>
    </w:p>
    <w:p w14:paraId="72DB71F7" w14:textId="3D5BDEEE" w:rsidR="00560CFA" w:rsidRDefault="00560CFA" w:rsidP="00560CF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l’avis favorable </w:t>
      </w:r>
      <w:r>
        <w:rPr>
          <w:rFonts w:eastAsia="Calibri" w:cstheme="minorHAnsi"/>
        </w:rPr>
        <w:t xml:space="preserve">du </w:t>
      </w:r>
      <w:r w:rsidRPr="00D658EA">
        <w:rPr>
          <w:rFonts w:eastAsia="Calibri" w:cstheme="minorHAnsi"/>
        </w:rPr>
        <w:t>Comité Social Territorial du Centre de Gestion de la Nièvre en date du 2</w:t>
      </w:r>
      <w:r w:rsidR="00D919AF">
        <w:rPr>
          <w:rFonts w:eastAsia="Calibri" w:cstheme="minorHAnsi"/>
        </w:rPr>
        <w:t>3</w:t>
      </w:r>
      <w:r w:rsidRPr="00D658EA">
        <w:rPr>
          <w:rFonts w:eastAsia="Calibri" w:cstheme="minorHAnsi"/>
        </w:rPr>
        <w:t xml:space="preserve"> juin 2025</w:t>
      </w:r>
      <w:r>
        <w:rPr>
          <w:rFonts w:eastAsia="Calibri" w:cstheme="minorHAnsi"/>
        </w:rPr>
        <w:t xml:space="preserve"> pour l’attribution du marché en prévoyance à la </w:t>
      </w:r>
      <w:r w:rsidRPr="00C63000">
        <w:rPr>
          <w:rFonts w:eastAsia="Calibri" w:cstheme="minorHAnsi"/>
        </w:rPr>
        <w:t xml:space="preserve">Mutuelle Nationale Territoriale, </w:t>
      </w:r>
      <w:r>
        <w:rPr>
          <w:rFonts w:eastAsia="Calibri" w:cstheme="minorHAnsi"/>
        </w:rPr>
        <w:t>et</w:t>
      </w:r>
      <w:r w:rsidRPr="00C63000">
        <w:rPr>
          <w:rFonts w:eastAsia="Calibri" w:cstheme="minorHAnsi"/>
        </w:rPr>
        <w:t xml:space="preserve"> la conclusion </w:t>
      </w:r>
      <w:r>
        <w:rPr>
          <w:rFonts w:eastAsia="Calibri" w:cstheme="minorHAnsi"/>
        </w:rPr>
        <w:t xml:space="preserve">avec celle-ci </w:t>
      </w:r>
      <w:r w:rsidRPr="00C63000">
        <w:rPr>
          <w:rFonts w:eastAsia="Calibri" w:cstheme="minorHAnsi"/>
        </w:rPr>
        <w:t>d’une convention de participation sur la période 2026-2031 </w:t>
      </w:r>
      <w:r w:rsidRPr="00D658EA">
        <w:rPr>
          <w:rFonts w:eastAsia="Calibri" w:cstheme="minorHAnsi"/>
        </w:rPr>
        <w:t>;</w:t>
      </w:r>
    </w:p>
    <w:p w14:paraId="67AFFB93" w14:textId="77777777" w:rsidR="00560CFA" w:rsidRDefault="00560CFA" w:rsidP="00560CFA">
      <w:pPr>
        <w:jc w:val="both"/>
        <w:rPr>
          <w:rFonts w:eastAsia="Calibri" w:cstheme="minorHAnsi"/>
        </w:rPr>
      </w:pPr>
      <w:r w:rsidRPr="00C63000">
        <w:rPr>
          <w:rFonts w:eastAsia="Calibri" w:cstheme="minorHAnsi"/>
        </w:rPr>
        <w:t>Vu la délibération n° 20250701_05 du Conseil d’Administration du Centre de Gestion de la Nièvre en date du 1</w:t>
      </w:r>
      <w:r w:rsidRPr="00C63000">
        <w:rPr>
          <w:rFonts w:eastAsia="Calibri" w:cstheme="minorHAnsi"/>
          <w:vertAlign w:val="superscript"/>
        </w:rPr>
        <w:t>er</w:t>
      </w:r>
      <w:r w:rsidRPr="00C63000">
        <w:rPr>
          <w:rFonts w:eastAsia="Calibri" w:cstheme="minorHAnsi"/>
        </w:rPr>
        <w:t xml:space="preserve"> juillet 2025</w:t>
      </w:r>
      <w:r>
        <w:rPr>
          <w:rFonts w:eastAsia="Calibri" w:cstheme="minorHAnsi"/>
        </w:rPr>
        <w:t>,</w:t>
      </w:r>
      <w:r w:rsidRPr="00C63000">
        <w:rPr>
          <w:rFonts w:eastAsia="Calibri" w:cstheme="minorHAnsi"/>
        </w:rPr>
        <w:t xml:space="preserve"> portant attribution d</w:t>
      </w:r>
      <w:r>
        <w:rPr>
          <w:rFonts w:eastAsia="Calibri" w:cstheme="minorHAnsi"/>
        </w:rPr>
        <w:t>u</w:t>
      </w:r>
      <w:r w:rsidRPr="00C63000">
        <w:rPr>
          <w:rFonts w:eastAsia="Calibri" w:cstheme="minorHAnsi"/>
        </w:rPr>
        <w:t xml:space="preserve"> marché en prévoyance à la Mutuelle Nationale Territoriale</w:t>
      </w:r>
      <w:r>
        <w:rPr>
          <w:rFonts w:eastAsia="Calibri" w:cstheme="minorHAnsi"/>
        </w:rPr>
        <w:t xml:space="preserve"> </w:t>
      </w:r>
      <w:r w:rsidRPr="00C63000">
        <w:rPr>
          <w:rFonts w:eastAsia="Calibri" w:cstheme="minorHAnsi"/>
        </w:rPr>
        <w:t>pour la conclusion d’une convention de participation sur la période 2026-2031 ;</w:t>
      </w:r>
    </w:p>
    <w:p w14:paraId="1199CAAB" w14:textId="2DE3B175" w:rsidR="00627331" w:rsidRPr="00C63000" w:rsidRDefault="00627331" w:rsidP="0062733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Vu la convention de participation signée entre le Centre de Gestion </w:t>
      </w:r>
      <w:r w:rsidR="004B4F17">
        <w:rPr>
          <w:rFonts w:eastAsia="Calibri" w:cstheme="minorHAnsi"/>
        </w:rPr>
        <w:t>de la Nièvre</w:t>
      </w:r>
      <w:r>
        <w:rPr>
          <w:rFonts w:eastAsia="Calibri" w:cstheme="minorHAnsi"/>
        </w:rPr>
        <w:t xml:space="preserve"> et la </w:t>
      </w:r>
      <w:r w:rsidR="00447D9A" w:rsidRPr="00C63000">
        <w:rPr>
          <w:rFonts w:eastAsia="Calibri" w:cstheme="minorHAnsi"/>
        </w:rPr>
        <w:t>Mutuelle Nationale Territoriale</w:t>
      </w:r>
      <w:r>
        <w:rPr>
          <w:rFonts w:eastAsia="Calibri" w:cstheme="minorHAnsi"/>
        </w:rPr>
        <w:t> ;</w:t>
      </w:r>
    </w:p>
    <w:p w14:paraId="19484B70" w14:textId="7D497ECC" w:rsidR="00C63000" w:rsidRDefault="00C63000" w:rsidP="00D658E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Vu les effectifs de la collecti</w:t>
      </w:r>
      <w:r w:rsidR="004B4F17">
        <w:rPr>
          <w:rFonts w:eastAsia="Calibri" w:cstheme="minorHAnsi"/>
        </w:rPr>
        <w:t>vité</w:t>
      </w:r>
      <w:r>
        <w:rPr>
          <w:rFonts w:eastAsia="Calibri" w:cstheme="minorHAnsi"/>
        </w:rPr>
        <w:t xml:space="preserve">, inférieurs à 50 agents ; </w:t>
      </w:r>
    </w:p>
    <w:p w14:paraId="69A34A05" w14:textId="03C020AF" w:rsidR="0057372D" w:rsidRDefault="0057372D" w:rsidP="0057372D">
      <w:pPr>
        <w:jc w:val="both"/>
        <w:rPr>
          <w:rFonts w:eastAsia="Calibri" w:cstheme="minorHAnsi"/>
        </w:rPr>
      </w:pPr>
      <w:r w:rsidRPr="00D919AF">
        <w:rPr>
          <w:rFonts w:eastAsia="Calibri" w:cstheme="minorHAnsi"/>
        </w:rPr>
        <w:t>Vu l’avis favorable du comité social territorial</w:t>
      </w:r>
      <w:r w:rsidR="00D919AF" w:rsidRPr="00D919AF">
        <w:rPr>
          <w:rFonts w:eastAsia="Calibri" w:cstheme="minorHAnsi"/>
        </w:rPr>
        <w:t xml:space="preserve"> du 26 septembre 2025</w:t>
      </w:r>
      <w:r w:rsidRPr="00D919AF">
        <w:rPr>
          <w:rFonts w:eastAsia="Calibri" w:cstheme="minorHAnsi"/>
        </w:rPr>
        <w:t> pour l’adhésion de la collectivité à la convention de participation du Centre de Gestion de la Nièvre en prévoyance ;</w:t>
      </w:r>
      <w:r>
        <w:rPr>
          <w:rFonts w:eastAsia="Calibri" w:cstheme="minorHAnsi"/>
        </w:rPr>
        <w:t xml:space="preserve"> </w:t>
      </w:r>
    </w:p>
    <w:p w14:paraId="234353F2" w14:textId="26A863D7" w:rsidR="0060369E" w:rsidRDefault="0060369E" w:rsidP="0060369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Considérant la documentation annexée à la présente délibération, présentant notamment les conditions tarifaires de la convention de participation du centre de gestion ; </w:t>
      </w:r>
    </w:p>
    <w:p w14:paraId="4D07C3B7" w14:textId="77777777" w:rsidR="00D658EA" w:rsidRPr="00D658EA" w:rsidRDefault="00D658EA" w:rsidP="00D658EA">
      <w:pPr>
        <w:jc w:val="both"/>
        <w:rPr>
          <w:rFonts w:eastAsia="Calibri" w:cstheme="minorHAnsi"/>
        </w:rPr>
      </w:pPr>
    </w:p>
    <w:p w14:paraId="200C1B40" w14:textId="7B680287" w:rsidR="004F4223" w:rsidRDefault="008B7035" w:rsidP="00C63000">
      <w:pPr>
        <w:jc w:val="both"/>
      </w:pPr>
      <w:r w:rsidRPr="00C63000">
        <w:rPr>
          <w:rFonts w:cstheme="minorHAnsi"/>
          <w:highlight w:val="yellow"/>
        </w:rPr>
        <w:t xml:space="preserve">Le Maire / </w:t>
      </w:r>
      <w:proofErr w:type="spellStart"/>
      <w:r w:rsidRPr="00005F7C">
        <w:rPr>
          <w:rFonts w:cstheme="minorHAnsi"/>
          <w:highlight w:val="yellow"/>
        </w:rPr>
        <w:t>Président</w:t>
      </w:r>
      <w:r w:rsidR="00005F7C" w:rsidRPr="00005F7C">
        <w:rPr>
          <w:rFonts w:cstheme="minorHAnsi"/>
          <w:highlight w:val="yellow"/>
        </w:rPr>
        <w:t>.e</w:t>
      </w:r>
      <w:proofErr w:type="spellEnd"/>
      <w:r w:rsidRPr="00C63000">
        <w:rPr>
          <w:rFonts w:cstheme="minorHAnsi"/>
        </w:rPr>
        <w:t xml:space="preserve"> expose que </w:t>
      </w:r>
      <w:r w:rsidR="00C63000" w:rsidRPr="00C63000">
        <w:t xml:space="preserve">la collectivité </w:t>
      </w:r>
      <w:r w:rsidR="004F4223">
        <w:t xml:space="preserve">doit proposer à ses agents une solution de prévoyance </w:t>
      </w:r>
      <w:r w:rsidR="00C81B58">
        <w:t>depuis le 1</w:t>
      </w:r>
      <w:r w:rsidR="00C81B58" w:rsidRPr="00CD0A85">
        <w:rPr>
          <w:vertAlign w:val="superscript"/>
        </w:rPr>
        <w:t>er</w:t>
      </w:r>
      <w:r w:rsidR="00C81B58">
        <w:t xml:space="preserve"> janvier 2025 </w:t>
      </w:r>
      <w:r w:rsidR="00C63000" w:rsidRPr="00C63000">
        <w:t xml:space="preserve">dans le but de garantir </w:t>
      </w:r>
      <w:r w:rsidR="004F4223">
        <w:t>leurs ressources</w:t>
      </w:r>
      <w:r w:rsidR="00C63000" w:rsidRPr="00C63000">
        <w:t xml:space="preserve"> en cas de maladie, </w:t>
      </w:r>
      <w:r w:rsidR="004F4223">
        <w:t xml:space="preserve">d’invalidité, et éventuellement de décès ou de perte de retraite. </w:t>
      </w:r>
    </w:p>
    <w:p w14:paraId="24B735C2" w14:textId="2D078FE3" w:rsidR="00762DB6" w:rsidRDefault="004F4223" w:rsidP="00C63000">
      <w:pPr>
        <w:jc w:val="both"/>
      </w:pPr>
      <w:r>
        <w:t>L</w:t>
      </w:r>
      <w:r w:rsidR="00C63000" w:rsidRPr="00C63000">
        <w:t>e Centre de Gestion de la Nièvre propose</w:t>
      </w:r>
      <w:r w:rsidR="008B6006">
        <w:t xml:space="preserve"> en partenariat avec la Mutuelle Nationale Territoriale</w:t>
      </w:r>
      <w:r w:rsidR="0071507B">
        <w:t xml:space="preserve"> (MNT)</w:t>
      </w:r>
      <w:r w:rsidR="008B6006">
        <w:t>,</w:t>
      </w:r>
      <w:r w:rsidR="00C63000" w:rsidRPr="00C63000">
        <w:t xml:space="preserve"> une offre par le biais d’une convention de participation pour le volet prévoyance</w:t>
      </w:r>
      <w:r w:rsidR="00762DB6">
        <w:t xml:space="preserve"> à compter du </w:t>
      </w:r>
      <w:r w:rsidR="00762DB6" w:rsidRPr="00CB2C13">
        <w:t>1</w:t>
      </w:r>
      <w:r w:rsidR="00762DB6" w:rsidRPr="00CB2C13">
        <w:rPr>
          <w:vertAlign w:val="superscript"/>
        </w:rPr>
        <w:t>er</w:t>
      </w:r>
      <w:r w:rsidR="00762DB6" w:rsidRPr="00CB2C13">
        <w:t xml:space="preserve"> janvier 2026</w:t>
      </w:r>
      <w:r w:rsidR="00E9451A">
        <w:t>,</w:t>
      </w:r>
      <w:r w:rsidR="00627331">
        <w:t xml:space="preserve"> pour une durée de 6 ans</w:t>
      </w:r>
      <w:r w:rsidR="00C63000" w:rsidRPr="00C63000">
        <w:t xml:space="preserve">, permettant de proposer aux agents </w:t>
      </w:r>
      <w:r w:rsidR="00627331">
        <w:t>des garanties de prévoyance</w:t>
      </w:r>
      <w:r>
        <w:t xml:space="preserve"> </w:t>
      </w:r>
      <w:r w:rsidR="00762DB6">
        <w:t xml:space="preserve">aux coûts les plus avantageux, grâce à l’effet de mutualisation. </w:t>
      </w:r>
    </w:p>
    <w:p w14:paraId="7B321729" w14:textId="768D6C02" w:rsidR="00E9451A" w:rsidRDefault="00E9451A" w:rsidP="00C63000">
      <w:pPr>
        <w:jc w:val="both"/>
      </w:pPr>
      <w:r>
        <w:lastRenderedPageBreak/>
        <w:t xml:space="preserve">Ces garanties pourront bénéficier aux agents titulaires, </w:t>
      </w:r>
      <w:r w:rsidR="009F78BD">
        <w:t xml:space="preserve">aux agents </w:t>
      </w:r>
      <w:r>
        <w:t>contractuels, ainsi qu’aux agents de droit privé.</w:t>
      </w:r>
      <w:r w:rsidR="004B4F17">
        <w:t xml:space="preserve"> </w:t>
      </w:r>
      <w:r w:rsidR="001E7573">
        <w:t>L’adhésion sera facultative et sera réalisée sans questionnaire médical ou carence</w:t>
      </w:r>
      <w:r w:rsidR="00C5319B">
        <w:t xml:space="preserve">. Seuls </w:t>
      </w:r>
      <w:r w:rsidR="004B4F17">
        <w:t xml:space="preserve">les agents en arrêt de travail au moment de leur adhésion devront respecter </w:t>
      </w:r>
      <w:proofErr w:type="gramStart"/>
      <w:r w:rsidR="004B4F17">
        <w:t>une carence de 30 jours consécu</w:t>
      </w:r>
      <w:r w:rsidR="000A056B">
        <w:t>t</w:t>
      </w:r>
      <w:r w:rsidR="004B4F17">
        <w:t>ifs</w:t>
      </w:r>
      <w:proofErr w:type="gramEnd"/>
      <w:r w:rsidR="004B4F17">
        <w:t xml:space="preserve"> sans arrêt à </w:t>
      </w:r>
      <w:r w:rsidR="00C5319B">
        <w:t>compter de leur</w:t>
      </w:r>
      <w:r w:rsidR="004B4F17">
        <w:t xml:space="preserve"> retour. </w:t>
      </w:r>
    </w:p>
    <w:p w14:paraId="309C8AA9" w14:textId="14A7CA14" w:rsidR="00E9451A" w:rsidRDefault="00E9451A" w:rsidP="00C63000">
      <w:pPr>
        <w:jc w:val="both"/>
      </w:pPr>
      <w:r>
        <w:t xml:space="preserve">Conformément aux dispositions de l’article </w:t>
      </w:r>
      <w:r w:rsidR="00154E54">
        <w:t xml:space="preserve">4 du Décret n° 2011-1474 du 8 novembre 2011, obligeant les collectivités à choisir de verser leur participation employeur soit à des contrats individuels labellisés, soit à des contrats </w:t>
      </w:r>
      <w:r w:rsidR="008B6006">
        <w:t xml:space="preserve">collectifs </w:t>
      </w:r>
      <w:r w:rsidR="00154E54">
        <w:t>souscrits dans le cadre d’une convention de participation, seul</w:t>
      </w:r>
      <w:r w:rsidR="004B4F17">
        <w:t>s</w:t>
      </w:r>
      <w:r w:rsidR="00154E54">
        <w:t xml:space="preserve"> les agents ayant adhéré au contrat en prévoyance proposé par le Centre de Gestion pourront bénéficier de la participation employeur</w:t>
      </w:r>
      <w:r w:rsidR="005E2F45">
        <w:t xml:space="preserve"> de la collectivité</w:t>
      </w:r>
      <w:r w:rsidR="00154E54">
        <w:t xml:space="preserve">.  </w:t>
      </w:r>
    </w:p>
    <w:p w14:paraId="0F9FF94C" w14:textId="648C2CF7" w:rsidR="00F33078" w:rsidRPr="00F33078" w:rsidRDefault="00F33078" w:rsidP="00F33078">
      <w:pPr>
        <w:spacing w:after="120"/>
        <w:jc w:val="both"/>
        <w:rPr>
          <w:rFonts w:cstheme="minorHAnsi"/>
          <w:b/>
          <w:bCs/>
        </w:rPr>
      </w:pPr>
      <w:r w:rsidRPr="00F33078">
        <w:rPr>
          <w:rFonts w:cstheme="minorHAnsi"/>
          <w:b/>
          <w:bCs/>
        </w:rPr>
        <w:t xml:space="preserve">La convention de participation proposera une garantie de base incluant : </w:t>
      </w:r>
    </w:p>
    <w:p w14:paraId="3F5C5ECF" w14:textId="12AEF158" w:rsidR="00F33078" w:rsidRDefault="00F33078" w:rsidP="00F33078">
      <w:pPr>
        <w:spacing w:after="120"/>
        <w:jc w:val="both"/>
        <w:rPr>
          <w:rFonts w:cstheme="minorHAnsi"/>
        </w:rPr>
      </w:pPr>
      <w:r w:rsidRPr="00DF4FAC">
        <w:rPr>
          <w:rFonts w:cstheme="minorHAnsi"/>
          <w:u w:val="single"/>
        </w:rPr>
        <w:t xml:space="preserve">- </w:t>
      </w:r>
      <w:r w:rsidR="008B6006" w:rsidRPr="00DF4FAC">
        <w:rPr>
          <w:rFonts w:cstheme="minorHAnsi"/>
          <w:u w:val="single"/>
        </w:rPr>
        <w:t xml:space="preserve">une garantie </w:t>
      </w:r>
      <w:r w:rsidR="00122FA9" w:rsidRPr="00DF4FAC">
        <w:rPr>
          <w:rFonts w:cstheme="minorHAnsi"/>
          <w:u w:val="single"/>
        </w:rPr>
        <w:t xml:space="preserve">perte de revenu </w:t>
      </w:r>
      <w:r w:rsidR="008B6006" w:rsidRPr="00DF4FAC">
        <w:rPr>
          <w:rFonts w:cstheme="minorHAnsi"/>
          <w:u w:val="single"/>
        </w:rPr>
        <w:t>en cas de</w:t>
      </w:r>
      <w:r w:rsidR="00122FA9" w:rsidRPr="00DF4FAC">
        <w:rPr>
          <w:rFonts w:cstheme="minorHAnsi"/>
          <w:u w:val="single"/>
        </w:rPr>
        <w:t xml:space="preserve"> congé de maladie</w:t>
      </w:r>
      <w:r>
        <w:rPr>
          <w:rFonts w:cstheme="minorHAnsi"/>
        </w:rPr>
        <w:t xml:space="preserve"> (CMO, CLM, CLD, CGM), </w:t>
      </w:r>
      <w:r w:rsidR="008B6006">
        <w:rPr>
          <w:rFonts w:cstheme="minorHAnsi"/>
        </w:rPr>
        <w:t xml:space="preserve">impliquant </w:t>
      </w:r>
      <w:r>
        <w:rPr>
          <w:rFonts w:cstheme="minorHAnsi"/>
        </w:rPr>
        <w:t>le maintien à 90% du traitement indiciaire net ainsi que de l’IFSE</w:t>
      </w:r>
      <w:r w:rsidR="008B6006">
        <w:rPr>
          <w:rFonts w:cstheme="minorHAnsi"/>
        </w:rPr>
        <w:t xml:space="preserve"> nette</w:t>
      </w:r>
      <w:r>
        <w:rPr>
          <w:rFonts w:cstheme="minorHAnsi"/>
        </w:rPr>
        <w:t xml:space="preserve"> (</w:t>
      </w:r>
      <w:r w:rsidR="00E9451A">
        <w:rPr>
          <w:rFonts w:cstheme="minorHAnsi"/>
        </w:rPr>
        <w:t>I</w:t>
      </w:r>
      <w:r>
        <w:rPr>
          <w:rFonts w:cstheme="minorHAnsi"/>
        </w:rPr>
        <w:t xml:space="preserve">ndemnité de fonction, de sujétion et d’expertise), </w:t>
      </w:r>
      <w:r w:rsidR="00E9451A">
        <w:rPr>
          <w:rFonts w:cstheme="minorHAnsi"/>
        </w:rPr>
        <w:t xml:space="preserve">et plus généralement </w:t>
      </w:r>
      <w:r w:rsidR="00122FA9">
        <w:rPr>
          <w:rFonts w:cstheme="minorHAnsi"/>
        </w:rPr>
        <w:t xml:space="preserve">de </w:t>
      </w:r>
      <w:r w:rsidR="00E9451A">
        <w:rPr>
          <w:rFonts w:cstheme="minorHAnsi"/>
        </w:rPr>
        <w:t xml:space="preserve">tous les éléments fixes et récurrents de rémunération. </w:t>
      </w:r>
      <w:r w:rsidR="00122FA9">
        <w:rPr>
          <w:rFonts w:cstheme="minorHAnsi"/>
        </w:rPr>
        <w:t xml:space="preserve">L’indemnisation débutera à compter du passage à demi-traitement pour les agents CNRACL, et </w:t>
      </w:r>
      <w:r w:rsidR="008B6006">
        <w:rPr>
          <w:rFonts w:cstheme="minorHAnsi"/>
        </w:rPr>
        <w:t>concernant les</w:t>
      </w:r>
      <w:r w:rsidR="00122FA9">
        <w:rPr>
          <w:rFonts w:cstheme="minorHAnsi"/>
        </w:rPr>
        <w:t xml:space="preserve"> agents non titulaires, </w:t>
      </w:r>
      <w:r w:rsidR="00DF4FAC">
        <w:rPr>
          <w:rFonts w:cstheme="minorHAnsi"/>
        </w:rPr>
        <w:t xml:space="preserve">débutera </w:t>
      </w:r>
      <w:r w:rsidR="00122FA9">
        <w:rPr>
          <w:rFonts w:cstheme="minorHAnsi"/>
        </w:rPr>
        <w:t>à partir du moment où leurs droits statutaires ne leurs permettront p</w:t>
      </w:r>
      <w:r w:rsidR="00DB253B">
        <w:rPr>
          <w:rFonts w:cstheme="minorHAnsi"/>
        </w:rPr>
        <w:t>lus</w:t>
      </w:r>
      <w:r w:rsidR="00122FA9">
        <w:rPr>
          <w:rFonts w:cstheme="minorHAnsi"/>
        </w:rPr>
        <w:t xml:space="preserve"> de toucher un plein traitement. </w:t>
      </w:r>
    </w:p>
    <w:p w14:paraId="37E5B50F" w14:textId="083B0826" w:rsidR="00F33078" w:rsidRDefault="00F33078" w:rsidP="00F33078">
      <w:pPr>
        <w:spacing w:after="120"/>
        <w:jc w:val="both"/>
        <w:rPr>
          <w:rFonts w:cstheme="minorHAnsi"/>
        </w:rPr>
      </w:pPr>
      <w:r w:rsidRPr="00DF4FAC">
        <w:rPr>
          <w:rFonts w:cstheme="minorHAnsi"/>
          <w:u w:val="single"/>
        </w:rPr>
        <w:t xml:space="preserve">- </w:t>
      </w:r>
      <w:r w:rsidR="00122FA9" w:rsidRPr="00DF4FAC">
        <w:rPr>
          <w:rFonts w:cstheme="minorHAnsi"/>
          <w:u w:val="single"/>
        </w:rPr>
        <w:t>une</w:t>
      </w:r>
      <w:r w:rsidRPr="00DF4FAC">
        <w:rPr>
          <w:rFonts w:cstheme="minorHAnsi"/>
          <w:u w:val="single"/>
        </w:rPr>
        <w:t xml:space="preserve"> garantie </w:t>
      </w:r>
      <w:proofErr w:type="gramStart"/>
      <w:r w:rsidRPr="00DF4FAC">
        <w:rPr>
          <w:rFonts w:cstheme="minorHAnsi"/>
          <w:u w:val="single"/>
        </w:rPr>
        <w:t>invalidité</w:t>
      </w:r>
      <w:r>
        <w:rPr>
          <w:rFonts w:cstheme="minorHAnsi"/>
        </w:rPr>
        <w:t xml:space="preserve"> impliquant</w:t>
      </w:r>
      <w:proofErr w:type="gramEnd"/>
      <w:r w:rsidR="00122FA9">
        <w:rPr>
          <w:rFonts w:cstheme="minorHAnsi"/>
        </w:rPr>
        <w:t>, en cas de perte de revenu,</w:t>
      </w:r>
      <w:r>
        <w:rPr>
          <w:rFonts w:cstheme="minorHAnsi"/>
        </w:rPr>
        <w:t xml:space="preserve"> le maintien à 90% du traitement indiciaire net ainsi que de l’IFSE</w:t>
      </w:r>
      <w:r w:rsidR="008B6006">
        <w:rPr>
          <w:rFonts w:cstheme="minorHAnsi"/>
        </w:rPr>
        <w:t xml:space="preserve"> nette</w:t>
      </w:r>
      <w:r>
        <w:rPr>
          <w:rFonts w:cstheme="minorHAnsi"/>
        </w:rPr>
        <w:t xml:space="preserve"> (Indemnité de fonction, de sujétion et d’expertise)</w:t>
      </w:r>
      <w:r w:rsidR="00E9451A">
        <w:rPr>
          <w:rFonts w:cstheme="minorHAnsi"/>
        </w:rPr>
        <w:t xml:space="preserve">, et plus généralement </w:t>
      </w:r>
      <w:r w:rsidR="00122FA9">
        <w:rPr>
          <w:rFonts w:cstheme="minorHAnsi"/>
        </w:rPr>
        <w:t xml:space="preserve">de </w:t>
      </w:r>
      <w:r w:rsidR="00E9451A">
        <w:rPr>
          <w:rFonts w:cstheme="minorHAnsi"/>
        </w:rPr>
        <w:t>tous les éléments fixes et récurrents de rémunération.</w:t>
      </w:r>
    </w:p>
    <w:p w14:paraId="280B2B85" w14:textId="70BBF62B" w:rsidR="00F33078" w:rsidRDefault="00F33078" w:rsidP="00F33078">
      <w:pPr>
        <w:spacing w:after="120"/>
        <w:jc w:val="both"/>
        <w:rPr>
          <w:rFonts w:cstheme="minorHAnsi"/>
        </w:rPr>
      </w:pPr>
      <w:r w:rsidRPr="00F33078">
        <w:rPr>
          <w:rFonts w:cstheme="minorHAnsi"/>
          <w:b/>
          <w:bCs/>
        </w:rPr>
        <w:t xml:space="preserve">D’autres options </w:t>
      </w:r>
      <w:r w:rsidR="00D848F8">
        <w:rPr>
          <w:rFonts w:cstheme="minorHAnsi"/>
          <w:b/>
          <w:bCs/>
        </w:rPr>
        <w:t xml:space="preserve">facultatives </w:t>
      </w:r>
      <w:r w:rsidRPr="00F33078">
        <w:rPr>
          <w:rFonts w:cstheme="minorHAnsi"/>
          <w:b/>
          <w:bCs/>
        </w:rPr>
        <w:t>sont proposées au choix de l’agent :</w:t>
      </w:r>
      <w:r>
        <w:rPr>
          <w:rFonts w:cstheme="minorHAnsi"/>
        </w:rPr>
        <w:t xml:space="preserve"> </w:t>
      </w:r>
    </w:p>
    <w:p w14:paraId="46C9792C" w14:textId="2749335A" w:rsidR="00F33078" w:rsidRDefault="00F33078" w:rsidP="00F33078">
      <w:pPr>
        <w:spacing w:after="120"/>
        <w:jc w:val="both"/>
        <w:rPr>
          <w:rFonts w:cstheme="minorHAnsi"/>
        </w:rPr>
      </w:pPr>
      <w:r w:rsidRPr="00DF4FAC">
        <w:rPr>
          <w:rFonts w:cstheme="minorHAnsi"/>
          <w:u w:val="single"/>
        </w:rPr>
        <w:t>- une garantie invalidité perte de retraite</w:t>
      </w:r>
      <w:r w:rsidR="00D848F8">
        <w:rPr>
          <w:rFonts w:cstheme="minorHAnsi"/>
        </w:rPr>
        <w:t xml:space="preserve"> permettant le versement d’un montant forfaitaire de 20 000€</w:t>
      </w:r>
      <w:r w:rsidR="00E9451A">
        <w:rPr>
          <w:rFonts w:cstheme="minorHAnsi"/>
        </w:rPr>
        <w:t xml:space="preserve"> aux agents CNRACL (les agents IRCANTEC ne subissant pas de perte de retraite en invalidité)</w:t>
      </w:r>
      <w:r>
        <w:rPr>
          <w:rFonts w:cstheme="minorHAnsi"/>
        </w:rPr>
        <w:t xml:space="preserve">, </w:t>
      </w:r>
    </w:p>
    <w:p w14:paraId="025FD1AD" w14:textId="68552CCD" w:rsidR="00F33078" w:rsidRDefault="00F33078" w:rsidP="00F33078">
      <w:pPr>
        <w:spacing w:after="120"/>
        <w:jc w:val="both"/>
        <w:rPr>
          <w:rFonts w:cstheme="minorHAnsi"/>
        </w:rPr>
      </w:pPr>
      <w:r w:rsidRPr="00DF4FAC">
        <w:rPr>
          <w:rFonts w:cstheme="minorHAnsi"/>
          <w:u w:val="single"/>
        </w:rPr>
        <w:t xml:space="preserve">- </w:t>
      </w:r>
      <w:r w:rsidR="00D848F8" w:rsidRPr="00DF4FAC">
        <w:rPr>
          <w:rFonts w:cstheme="minorHAnsi"/>
          <w:u w:val="single"/>
        </w:rPr>
        <w:t>u</w:t>
      </w:r>
      <w:r w:rsidRPr="00DF4FAC">
        <w:rPr>
          <w:rFonts w:cstheme="minorHAnsi"/>
          <w:u w:val="single"/>
        </w:rPr>
        <w:t>ne garantie décès ou perte totale et irréversible d’autonomie</w:t>
      </w:r>
      <w:r>
        <w:rPr>
          <w:rFonts w:cstheme="minorHAnsi"/>
        </w:rPr>
        <w:t xml:space="preserve"> (PTIA)</w:t>
      </w:r>
      <w:r w:rsidR="00D848F8">
        <w:rPr>
          <w:rFonts w:cstheme="minorHAnsi"/>
        </w:rPr>
        <w:t xml:space="preserve"> permettant le versement aux ayants droits, ou à l’agent subissant une dépendance totale, </w:t>
      </w:r>
      <w:r w:rsidR="00DF4FAC">
        <w:rPr>
          <w:rFonts w:cstheme="minorHAnsi"/>
        </w:rPr>
        <w:t xml:space="preserve">un versement forfaitaire </w:t>
      </w:r>
      <w:r w:rsidR="00D848F8">
        <w:rPr>
          <w:rFonts w:cstheme="minorHAnsi"/>
        </w:rPr>
        <w:t>de 50% du salaire annuel brut</w:t>
      </w:r>
      <w:r>
        <w:rPr>
          <w:rFonts w:cstheme="minorHAnsi"/>
        </w:rPr>
        <w:t xml:space="preserve">. </w:t>
      </w:r>
    </w:p>
    <w:p w14:paraId="699A3210" w14:textId="77777777" w:rsidR="0071507B" w:rsidRPr="004B1275" w:rsidRDefault="0071507B" w:rsidP="0071507B">
      <w:pPr>
        <w:jc w:val="both"/>
        <w:rPr>
          <w:rFonts w:cstheme="minorHAnsi"/>
          <w:b/>
          <w:bCs/>
        </w:rPr>
      </w:pPr>
      <w:r w:rsidRPr="004B1275">
        <w:rPr>
          <w:rFonts w:cstheme="minorHAnsi"/>
          <w:b/>
          <w:bCs/>
        </w:rPr>
        <w:t xml:space="preserve">Évolution tarifaire : </w:t>
      </w:r>
    </w:p>
    <w:p w14:paraId="25450709" w14:textId="466D5748" w:rsidR="0071507B" w:rsidRDefault="0071507B" w:rsidP="0071507B">
      <w:pPr>
        <w:jc w:val="both"/>
        <w:rPr>
          <w:rFonts w:cstheme="minorHAnsi"/>
        </w:rPr>
      </w:pPr>
      <w:r>
        <w:rPr>
          <w:rFonts w:cstheme="minorHAnsi"/>
        </w:rPr>
        <w:t xml:space="preserve">Les taux sont garantis pendant 3 ans. Au-delà de cette date, l’augmentation maximale du montant de la cotisation est plafonnée à 15% par an, sous réserve que </w:t>
      </w: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MNT puisse légitimement justifier auprès du centre de gestion d’une augmentation de ses coûts. </w:t>
      </w:r>
    </w:p>
    <w:p w14:paraId="70C08897" w14:textId="77777777" w:rsidR="0071507B" w:rsidRDefault="0071507B" w:rsidP="00F33078">
      <w:pPr>
        <w:spacing w:after="120"/>
        <w:jc w:val="both"/>
        <w:rPr>
          <w:rFonts w:cstheme="minorHAnsi"/>
        </w:rPr>
      </w:pPr>
    </w:p>
    <w:p w14:paraId="254528CF" w14:textId="42F3D2CB" w:rsidR="00974273" w:rsidRPr="00B64183" w:rsidRDefault="00974273" w:rsidP="004F5E12">
      <w:pPr>
        <w:jc w:val="both"/>
        <w:rPr>
          <w:rFonts w:cstheme="minorHAnsi"/>
        </w:rPr>
      </w:pPr>
    </w:p>
    <w:p w14:paraId="72E2E96E" w14:textId="1D419E05" w:rsidR="004F5E12" w:rsidRPr="00773C38" w:rsidRDefault="00306F33" w:rsidP="004F5E12">
      <w:pPr>
        <w:jc w:val="both"/>
        <w:rPr>
          <w:b/>
          <w:bCs/>
        </w:rPr>
      </w:pPr>
      <w:r w:rsidRPr="00773C38">
        <w:rPr>
          <w:b/>
          <w:bCs/>
        </w:rPr>
        <w:t>Après lecture et débats, l</w:t>
      </w:r>
      <w:r w:rsidR="004F5E12" w:rsidRPr="00773C38">
        <w:rPr>
          <w:b/>
          <w:bCs/>
        </w:rPr>
        <w:t xml:space="preserve">es membres du </w:t>
      </w:r>
      <w:r w:rsidRPr="00773C38">
        <w:rPr>
          <w:b/>
          <w:bCs/>
          <w:highlight w:val="yellow"/>
        </w:rPr>
        <w:t>NOM DE L’ASSEMBLEE</w:t>
      </w:r>
      <w:r w:rsidR="004F5E12" w:rsidRPr="00773C38">
        <w:rPr>
          <w:b/>
          <w:bCs/>
        </w:rPr>
        <w:t xml:space="preserve"> </w:t>
      </w:r>
      <w:r w:rsidRPr="00773C38">
        <w:rPr>
          <w:b/>
          <w:bCs/>
        </w:rPr>
        <w:t xml:space="preserve">décident : </w:t>
      </w:r>
    </w:p>
    <w:p w14:paraId="06220538" w14:textId="2348D881" w:rsidR="004F5E12" w:rsidRPr="00B64183" w:rsidRDefault="00627331" w:rsidP="004F5E12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 xml:space="preserve">D’ADHERER </w:t>
      </w:r>
      <w:r w:rsidRPr="00627331">
        <w:t xml:space="preserve">à la convention de participation en prévoyance telle que mise en œuvre par le Centre de Gestion de la Nièvre, à compter du </w:t>
      </w:r>
      <w:r w:rsidR="00446A21" w:rsidRPr="00446A21">
        <w:rPr>
          <w:highlight w:val="yellow"/>
        </w:rPr>
        <w:t>01/01/2026</w:t>
      </w:r>
      <w:r w:rsidRPr="00446A21">
        <w:rPr>
          <w:highlight w:val="yellow"/>
        </w:rPr>
        <w:t>,</w:t>
      </w:r>
      <w:r w:rsidRPr="00627331">
        <w:t xml:space="preserve"> et prends acte des conditions d’adhésion fixées par celles-ci </w:t>
      </w:r>
      <w:r w:rsidR="00306F33" w:rsidRPr="00627331">
        <w:t>;</w:t>
      </w:r>
      <w:r w:rsidR="00306F33" w:rsidRPr="00B64183">
        <w:t xml:space="preserve"> </w:t>
      </w:r>
    </w:p>
    <w:p w14:paraId="6824C004" w14:textId="4234B0BA" w:rsidR="00306F33" w:rsidRPr="00B64183" w:rsidRDefault="00306F33" w:rsidP="004F5E12">
      <w:pPr>
        <w:pStyle w:val="Paragraphedeliste"/>
        <w:numPr>
          <w:ilvl w:val="0"/>
          <w:numId w:val="4"/>
        </w:numPr>
        <w:jc w:val="both"/>
      </w:pPr>
      <w:r w:rsidRPr="00B64183">
        <w:rPr>
          <w:b/>
          <w:bCs/>
        </w:rPr>
        <w:t xml:space="preserve">D’AUTORISER </w:t>
      </w:r>
      <w:r w:rsidRPr="00B64183">
        <w:t xml:space="preserve">le </w:t>
      </w:r>
      <w:r w:rsidRPr="00B64183">
        <w:rPr>
          <w:highlight w:val="yellow"/>
        </w:rPr>
        <w:t>Maire/</w:t>
      </w:r>
      <w:proofErr w:type="spellStart"/>
      <w:r w:rsidRPr="00005F7C">
        <w:rPr>
          <w:highlight w:val="yellow"/>
        </w:rPr>
        <w:t>Président</w:t>
      </w:r>
      <w:r w:rsidR="00005F7C" w:rsidRPr="00005F7C">
        <w:rPr>
          <w:highlight w:val="yellow"/>
        </w:rPr>
        <w:t>.e</w:t>
      </w:r>
      <w:proofErr w:type="spellEnd"/>
      <w:r w:rsidRPr="00B64183">
        <w:t xml:space="preserve">, à signer tous les documents et actes s’y afférent ; </w:t>
      </w:r>
    </w:p>
    <w:p w14:paraId="66081BC1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601DB385" w14:textId="19D3779A" w:rsidR="004F5E12" w:rsidRPr="00B64183" w:rsidRDefault="004F5E12" w:rsidP="004F5E12">
      <w:pPr>
        <w:spacing w:after="0"/>
        <w:jc w:val="both"/>
        <w:rPr>
          <w:rFonts w:cstheme="minorHAnsi"/>
        </w:rPr>
      </w:pPr>
      <w:bookmarkStart w:id="6" w:name="_Hlk104886134"/>
      <w:r w:rsidRPr="00B64183">
        <w:rPr>
          <w:rFonts w:cstheme="minorHAnsi"/>
        </w:rPr>
        <w:t xml:space="preserve">Nombre de membres en exercice : </w:t>
      </w:r>
    </w:p>
    <w:p w14:paraId="58F6FDC4" w14:textId="6CBA3462" w:rsidR="004F5E12" w:rsidRPr="00B64183" w:rsidRDefault="004F5E12" w:rsidP="004F5E12">
      <w:pPr>
        <w:spacing w:after="0"/>
        <w:jc w:val="both"/>
        <w:rPr>
          <w:rFonts w:cstheme="minorHAnsi"/>
        </w:rPr>
      </w:pPr>
      <w:r w:rsidRPr="00B64183">
        <w:rPr>
          <w:rFonts w:cstheme="minorHAnsi"/>
        </w:rPr>
        <w:t xml:space="preserve">Nombre de membres présents : </w:t>
      </w:r>
    </w:p>
    <w:p w14:paraId="4A4B67D8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Vote contre : 0</w:t>
      </w:r>
    </w:p>
    <w:p w14:paraId="49DB972B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lastRenderedPageBreak/>
        <w:t>Abstentions : 0</w:t>
      </w:r>
    </w:p>
    <w:p w14:paraId="0A48E16F" w14:textId="790ADD65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 xml:space="preserve">Vote pour : </w:t>
      </w:r>
    </w:p>
    <w:bookmarkEnd w:id="6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1D24987" w:rsidR="004F5E12" w:rsidRPr="00007F22" w:rsidRDefault="00217347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  <w:highlight w:val="yellow"/>
        </w:rPr>
        <w:t xml:space="preserve">Le Maire / </w:t>
      </w:r>
      <w:proofErr w:type="spellStart"/>
      <w:r w:rsidRPr="00007F22">
        <w:rPr>
          <w:sz w:val="18"/>
          <w:szCs w:val="18"/>
          <w:highlight w:val="yellow"/>
        </w:rPr>
        <w:t>Président</w:t>
      </w:r>
      <w:r w:rsidR="00DC5E59">
        <w:rPr>
          <w:sz w:val="18"/>
          <w:szCs w:val="18"/>
          <w:highlight w:val="yellow"/>
        </w:rPr>
        <w:t>.e</w:t>
      </w:r>
      <w:proofErr w:type="spellEnd"/>
      <w:r w:rsidR="00773C38">
        <w:rPr>
          <w:sz w:val="18"/>
          <w:szCs w:val="18"/>
          <w:highlight w:val="yellow"/>
        </w:rPr>
        <w:t> </w:t>
      </w:r>
      <w:r w:rsidR="00773C38">
        <w:rPr>
          <w:sz w:val="18"/>
          <w:szCs w:val="18"/>
        </w:rPr>
        <w:t>:</w:t>
      </w:r>
    </w:p>
    <w:p w14:paraId="479BD24C" w14:textId="105B6825" w:rsidR="004F5E12" w:rsidRPr="00007F22" w:rsidRDefault="004F5E12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773C38">
      <w:pPr>
        <w:pStyle w:val="recours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10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6BAFD05D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="00DC5E59" w:rsidRPr="00DC5E59">
        <w:rPr>
          <w:rFonts w:cs="Calibri"/>
          <w:highlight w:val="yellow"/>
          <w:lang w:val="fr-FR"/>
        </w:rPr>
        <w:t>………….</w:t>
      </w:r>
      <w:r w:rsidRPr="00DC5E59">
        <w:rPr>
          <w:rFonts w:cs="Calibri"/>
          <w:highlight w:val="yellow"/>
          <w:lang w:val="fr-FR"/>
        </w:rPr>
        <w:t>,</w:t>
      </w:r>
      <w:r w:rsidRPr="00B64183">
        <w:rPr>
          <w:rFonts w:cs="Calibri"/>
        </w:rPr>
        <w:t xml:space="preserve"> le </w:t>
      </w:r>
      <w:r w:rsidR="00217347" w:rsidRPr="00B64183">
        <w:rPr>
          <w:rFonts w:cs="Calibri"/>
          <w:highlight w:val="yellow"/>
          <w:lang w:val="fr-FR"/>
        </w:rPr>
        <w:t xml:space="preserve">XX </w:t>
      </w:r>
      <w:proofErr w:type="spellStart"/>
      <w:r w:rsidR="00217347" w:rsidRPr="00B64183">
        <w:rPr>
          <w:rFonts w:cs="Calibri"/>
          <w:highlight w:val="yellow"/>
          <w:lang w:val="fr-FR"/>
        </w:rPr>
        <w:t>XX</w:t>
      </w:r>
      <w:proofErr w:type="spellEnd"/>
      <w:r w:rsidR="00217347" w:rsidRPr="00B64183">
        <w:rPr>
          <w:rFonts w:cs="Calibri"/>
          <w:highlight w:val="yellow"/>
          <w:lang w:val="fr-FR"/>
        </w:rPr>
        <w:t xml:space="preserve"> </w:t>
      </w:r>
      <w:proofErr w:type="spellStart"/>
      <w:r w:rsidR="00217347" w:rsidRPr="00B64183">
        <w:rPr>
          <w:rFonts w:cs="Calibri"/>
          <w:highlight w:val="yellow"/>
          <w:lang w:val="fr-FR"/>
        </w:rPr>
        <w:t>XX</w:t>
      </w:r>
      <w:proofErr w:type="spellEnd"/>
      <w:r w:rsidR="00217347" w:rsidRPr="00B64183">
        <w:rPr>
          <w:rFonts w:cs="Calibri"/>
          <w:lang w:val="fr-FR"/>
        </w:rPr>
        <w:t xml:space="preserve"> </w:t>
      </w:r>
    </w:p>
    <w:p w14:paraId="72F15D0F" w14:textId="67F7D882" w:rsidR="0040500A" w:rsidRPr="006934A5" w:rsidRDefault="00217347" w:rsidP="006934A5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Le Maire/</w:t>
      </w:r>
      <w:proofErr w:type="spellStart"/>
      <w:r w:rsidRPr="00B64183">
        <w:rPr>
          <w:rFonts w:ascii="Calibri" w:hAnsi="Calibri" w:cs="Calibri"/>
          <w:sz w:val="22"/>
          <w:szCs w:val="22"/>
          <w:highlight w:val="yellow"/>
          <w:lang w:val="fr-FR"/>
        </w:rPr>
        <w:t>Président</w:t>
      </w:r>
      <w:r w:rsidR="00DC5E59">
        <w:rPr>
          <w:rFonts w:ascii="Calibri" w:hAnsi="Calibri" w:cs="Calibri"/>
          <w:sz w:val="22"/>
          <w:szCs w:val="22"/>
          <w:highlight w:val="yellow"/>
          <w:lang w:val="fr-FR"/>
        </w:rPr>
        <w:t>.e</w:t>
      </w:r>
      <w:proofErr w:type="spellEnd"/>
      <w:r w:rsidR="005E3214" w:rsidRPr="00B64183">
        <w:rPr>
          <w:rFonts w:ascii="Calibri" w:hAnsi="Calibri" w:cs="Calibri"/>
          <w:sz w:val="22"/>
          <w:szCs w:val="22"/>
          <w:highlight w:val="yellow"/>
        </w:rPr>
        <w:t>,</w:t>
      </w:r>
      <w:bookmarkEnd w:id="5"/>
    </w:p>
    <w:sectPr w:rsidR="0040500A" w:rsidRPr="006934A5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FE56" w14:textId="77777777" w:rsidR="00745C2D" w:rsidRDefault="00745C2D" w:rsidP="004B24D6">
      <w:pPr>
        <w:spacing w:after="0" w:line="240" w:lineRule="auto"/>
      </w:pPr>
      <w:r>
        <w:separator/>
      </w:r>
    </w:p>
  </w:endnote>
  <w:endnote w:type="continuationSeparator" w:id="0">
    <w:p w14:paraId="343F432E" w14:textId="77777777" w:rsidR="00745C2D" w:rsidRDefault="00745C2D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CDE3" w14:textId="77777777" w:rsidR="00745C2D" w:rsidRDefault="00745C2D" w:rsidP="004B24D6">
      <w:pPr>
        <w:spacing w:after="0" w:line="240" w:lineRule="auto"/>
      </w:pPr>
      <w:r>
        <w:separator/>
      </w:r>
    </w:p>
  </w:footnote>
  <w:footnote w:type="continuationSeparator" w:id="0">
    <w:p w14:paraId="28619515" w14:textId="77777777" w:rsidR="00745C2D" w:rsidRDefault="00745C2D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4"/>
  </w:num>
  <w:num w:numId="2" w16cid:durableId="244263951">
    <w:abstractNumId w:val="5"/>
  </w:num>
  <w:num w:numId="3" w16cid:durableId="1166895287">
    <w:abstractNumId w:val="2"/>
  </w:num>
  <w:num w:numId="4" w16cid:durableId="1474836444">
    <w:abstractNumId w:val="1"/>
  </w:num>
  <w:num w:numId="5" w16cid:durableId="1736508664">
    <w:abstractNumId w:val="0"/>
  </w:num>
  <w:num w:numId="6" w16cid:durableId="141724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5F7C"/>
    <w:rsid w:val="00007F22"/>
    <w:rsid w:val="000469A9"/>
    <w:rsid w:val="00063987"/>
    <w:rsid w:val="000A056B"/>
    <w:rsid w:val="000B1BBC"/>
    <w:rsid w:val="000C33EC"/>
    <w:rsid w:val="000C5C4D"/>
    <w:rsid w:val="000E13EC"/>
    <w:rsid w:val="000F2B2D"/>
    <w:rsid w:val="001029B1"/>
    <w:rsid w:val="00122FA9"/>
    <w:rsid w:val="001233A0"/>
    <w:rsid w:val="001420FD"/>
    <w:rsid w:val="001450C1"/>
    <w:rsid w:val="00154E54"/>
    <w:rsid w:val="00162435"/>
    <w:rsid w:val="001A39FC"/>
    <w:rsid w:val="001E67C6"/>
    <w:rsid w:val="001E7573"/>
    <w:rsid w:val="001F4721"/>
    <w:rsid w:val="00207AEB"/>
    <w:rsid w:val="00212BE5"/>
    <w:rsid w:val="00217347"/>
    <w:rsid w:val="00263E29"/>
    <w:rsid w:val="002D39F6"/>
    <w:rsid w:val="002D5D5E"/>
    <w:rsid w:val="002E17FE"/>
    <w:rsid w:val="00306F33"/>
    <w:rsid w:val="003440A4"/>
    <w:rsid w:val="003675D8"/>
    <w:rsid w:val="0038368D"/>
    <w:rsid w:val="00390FAA"/>
    <w:rsid w:val="00391A43"/>
    <w:rsid w:val="00393654"/>
    <w:rsid w:val="003C4E9E"/>
    <w:rsid w:val="003D24A5"/>
    <w:rsid w:val="0040500A"/>
    <w:rsid w:val="00424786"/>
    <w:rsid w:val="0042560C"/>
    <w:rsid w:val="00444758"/>
    <w:rsid w:val="00446A21"/>
    <w:rsid w:val="00447D9A"/>
    <w:rsid w:val="004543A9"/>
    <w:rsid w:val="00462FFC"/>
    <w:rsid w:val="00463A4A"/>
    <w:rsid w:val="0046653A"/>
    <w:rsid w:val="00470F53"/>
    <w:rsid w:val="004B1E84"/>
    <w:rsid w:val="004B24D6"/>
    <w:rsid w:val="004B3CF1"/>
    <w:rsid w:val="004B4F17"/>
    <w:rsid w:val="004B5848"/>
    <w:rsid w:val="004D7099"/>
    <w:rsid w:val="004F4223"/>
    <w:rsid w:val="004F5E12"/>
    <w:rsid w:val="0053045A"/>
    <w:rsid w:val="005378D1"/>
    <w:rsid w:val="005452B0"/>
    <w:rsid w:val="005503FD"/>
    <w:rsid w:val="00560CFA"/>
    <w:rsid w:val="00573191"/>
    <w:rsid w:val="0057372D"/>
    <w:rsid w:val="005C47BA"/>
    <w:rsid w:val="005E0498"/>
    <w:rsid w:val="005E2F45"/>
    <w:rsid w:val="005E3214"/>
    <w:rsid w:val="005F0301"/>
    <w:rsid w:val="0060369E"/>
    <w:rsid w:val="0061580A"/>
    <w:rsid w:val="00627331"/>
    <w:rsid w:val="006934A5"/>
    <w:rsid w:val="006A41D9"/>
    <w:rsid w:val="006B2B22"/>
    <w:rsid w:val="006C5223"/>
    <w:rsid w:val="006F5319"/>
    <w:rsid w:val="0071507B"/>
    <w:rsid w:val="0072068B"/>
    <w:rsid w:val="00745C2D"/>
    <w:rsid w:val="00747FF1"/>
    <w:rsid w:val="00760777"/>
    <w:rsid w:val="00762DB6"/>
    <w:rsid w:val="00766113"/>
    <w:rsid w:val="00773C38"/>
    <w:rsid w:val="00774918"/>
    <w:rsid w:val="00775982"/>
    <w:rsid w:val="00780BEF"/>
    <w:rsid w:val="007C3EC3"/>
    <w:rsid w:val="007F133C"/>
    <w:rsid w:val="007F1CF2"/>
    <w:rsid w:val="00805DA1"/>
    <w:rsid w:val="008241BD"/>
    <w:rsid w:val="0086575C"/>
    <w:rsid w:val="008676A2"/>
    <w:rsid w:val="00871201"/>
    <w:rsid w:val="008765C0"/>
    <w:rsid w:val="00882B9A"/>
    <w:rsid w:val="008B6006"/>
    <w:rsid w:val="008B7035"/>
    <w:rsid w:val="008B7F9A"/>
    <w:rsid w:val="008E62E5"/>
    <w:rsid w:val="008F7F70"/>
    <w:rsid w:val="00901E9B"/>
    <w:rsid w:val="00906D96"/>
    <w:rsid w:val="00913E1B"/>
    <w:rsid w:val="009223C1"/>
    <w:rsid w:val="009259C2"/>
    <w:rsid w:val="00933F09"/>
    <w:rsid w:val="009612FC"/>
    <w:rsid w:val="0096139C"/>
    <w:rsid w:val="00972085"/>
    <w:rsid w:val="00974273"/>
    <w:rsid w:val="009860AC"/>
    <w:rsid w:val="00996CE4"/>
    <w:rsid w:val="009B5088"/>
    <w:rsid w:val="009F78BD"/>
    <w:rsid w:val="00A27FB3"/>
    <w:rsid w:val="00A55281"/>
    <w:rsid w:val="00A8679F"/>
    <w:rsid w:val="00A9418D"/>
    <w:rsid w:val="00B27A8B"/>
    <w:rsid w:val="00B634F3"/>
    <w:rsid w:val="00B64183"/>
    <w:rsid w:val="00B663B3"/>
    <w:rsid w:val="00B8791B"/>
    <w:rsid w:val="00B93E60"/>
    <w:rsid w:val="00BF0BCE"/>
    <w:rsid w:val="00C2037B"/>
    <w:rsid w:val="00C24F4B"/>
    <w:rsid w:val="00C52632"/>
    <w:rsid w:val="00C5319B"/>
    <w:rsid w:val="00C62ACA"/>
    <w:rsid w:val="00C63000"/>
    <w:rsid w:val="00C81B58"/>
    <w:rsid w:val="00C81F16"/>
    <w:rsid w:val="00CA071F"/>
    <w:rsid w:val="00CB11AC"/>
    <w:rsid w:val="00CB2C13"/>
    <w:rsid w:val="00CB5066"/>
    <w:rsid w:val="00CE2174"/>
    <w:rsid w:val="00CF16AF"/>
    <w:rsid w:val="00D00A76"/>
    <w:rsid w:val="00D124E3"/>
    <w:rsid w:val="00D179C6"/>
    <w:rsid w:val="00D635B9"/>
    <w:rsid w:val="00D658EA"/>
    <w:rsid w:val="00D7602B"/>
    <w:rsid w:val="00D848F8"/>
    <w:rsid w:val="00D919AF"/>
    <w:rsid w:val="00DB253B"/>
    <w:rsid w:val="00DC0B63"/>
    <w:rsid w:val="00DC5E59"/>
    <w:rsid w:val="00DF4FAC"/>
    <w:rsid w:val="00E05E2C"/>
    <w:rsid w:val="00E3496F"/>
    <w:rsid w:val="00E41A0B"/>
    <w:rsid w:val="00E80A53"/>
    <w:rsid w:val="00E9451A"/>
    <w:rsid w:val="00EC021B"/>
    <w:rsid w:val="00EC0223"/>
    <w:rsid w:val="00EC2D6B"/>
    <w:rsid w:val="00EE53D3"/>
    <w:rsid w:val="00EF49CF"/>
    <w:rsid w:val="00EF6EF4"/>
    <w:rsid w:val="00F14509"/>
    <w:rsid w:val="00F327F8"/>
    <w:rsid w:val="00F33078"/>
    <w:rsid w:val="00F50BD2"/>
    <w:rsid w:val="00F525C4"/>
    <w:rsid w:val="00F64E29"/>
    <w:rsid w:val="00F659FF"/>
    <w:rsid w:val="00F66907"/>
    <w:rsid w:val="00F848FA"/>
    <w:rsid w:val="00F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Elodie CAVACAS</cp:lastModifiedBy>
  <cp:revision>2</cp:revision>
  <cp:lastPrinted>2025-08-11T08:49:00Z</cp:lastPrinted>
  <dcterms:created xsi:type="dcterms:W3CDTF">2025-09-30T08:58:00Z</dcterms:created>
  <dcterms:modified xsi:type="dcterms:W3CDTF">2025-09-30T08:58:00Z</dcterms:modified>
</cp:coreProperties>
</file>