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31EE4" w14:textId="2E033410" w:rsidR="006E5065" w:rsidRPr="007E7F4C" w:rsidRDefault="006E5065" w:rsidP="006E5065">
      <w:pPr>
        <w:jc w:val="center"/>
        <w:rPr>
          <w:rFonts w:ascii="Aptos" w:hAnsi="Aptos"/>
          <w:sz w:val="32"/>
          <w:szCs w:val="32"/>
        </w:rPr>
      </w:pPr>
      <w:r w:rsidRPr="007E7F4C">
        <w:rPr>
          <w:rFonts w:ascii="Aptos" w:hAnsi="Aptos"/>
          <w:sz w:val="32"/>
          <w:szCs w:val="32"/>
        </w:rPr>
        <w:t xml:space="preserve">Modèle de délibération pour les collectivités employant </w:t>
      </w:r>
      <w:r w:rsidR="00C66CD9">
        <w:rPr>
          <w:rFonts w:ascii="Aptos" w:hAnsi="Aptos"/>
          <w:sz w:val="32"/>
          <w:szCs w:val="32"/>
        </w:rPr>
        <w:t>moins</w:t>
      </w:r>
      <w:r w:rsidRPr="007E7F4C">
        <w:rPr>
          <w:rFonts w:ascii="Aptos" w:hAnsi="Aptos"/>
          <w:sz w:val="32"/>
          <w:szCs w:val="32"/>
        </w:rPr>
        <w:t xml:space="preserve"> de </w:t>
      </w:r>
      <w:r w:rsidR="00A17640">
        <w:rPr>
          <w:rFonts w:ascii="Aptos" w:hAnsi="Aptos"/>
          <w:sz w:val="32"/>
          <w:szCs w:val="32"/>
        </w:rPr>
        <w:t>30</w:t>
      </w:r>
      <w:r w:rsidRPr="007E7F4C">
        <w:rPr>
          <w:rFonts w:ascii="Aptos" w:hAnsi="Aptos"/>
          <w:sz w:val="32"/>
          <w:szCs w:val="32"/>
        </w:rPr>
        <w:t xml:space="preserve"> agents CNRACL</w:t>
      </w:r>
    </w:p>
    <w:p w14:paraId="67C4E68B" w14:textId="77777777" w:rsidR="006E5065" w:rsidRPr="007F54B3" w:rsidRDefault="006E5065" w:rsidP="006E5065">
      <w:pPr>
        <w:jc w:val="both"/>
        <w:rPr>
          <w:rFonts w:ascii="Aptos" w:hAnsi="Aptos"/>
          <w:sz w:val="22"/>
          <w:szCs w:val="22"/>
        </w:rPr>
      </w:pPr>
    </w:p>
    <w:p w14:paraId="1141285D" w14:textId="51A7E29C" w:rsidR="00E82F97" w:rsidRPr="007F54B3" w:rsidRDefault="00E82F97" w:rsidP="00E82F97">
      <w:pPr>
        <w:jc w:val="both"/>
        <w:rPr>
          <w:rFonts w:ascii="Aptos" w:hAnsi="Aptos" w:cs="Poppins"/>
          <w:b/>
          <w:bCs/>
          <w:iCs/>
          <w:sz w:val="22"/>
          <w:szCs w:val="22"/>
        </w:rPr>
      </w:pPr>
      <w:r w:rsidRPr="007F54B3">
        <w:rPr>
          <w:rFonts w:ascii="Aptos" w:hAnsi="Aptos" w:cs="Poppins"/>
          <w:b/>
          <w:bCs/>
          <w:iCs/>
          <w:sz w:val="22"/>
          <w:szCs w:val="22"/>
          <w:u w:val="single"/>
        </w:rPr>
        <w:t>Objet</w:t>
      </w:r>
      <w:r w:rsidRPr="007F54B3">
        <w:rPr>
          <w:rFonts w:ascii="Aptos" w:hAnsi="Aptos" w:cs="Poppins"/>
          <w:b/>
          <w:bCs/>
          <w:iCs/>
          <w:sz w:val="22"/>
          <w:szCs w:val="22"/>
        </w:rPr>
        <w:t xml:space="preserve"> : </w:t>
      </w:r>
      <w:r w:rsidR="00D11F34">
        <w:rPr>
          <w:rFonts w:ascii="Aptos" w:hAnsi="Aptos" w:cs="Poppins"/>
          <w:b/>
          <w:bCs/>
          <w:iCs/>
          <w:sz w:val="22"/>
          <w:szCs w:val="22"/>
        </w:rPr>
        <w:t>adhésion au contrat d’assurance des risques statutaires du centre de gestion de la fonction publique territoriale d</w:t>
      </w:r>
      <w:r w:rsidR="009E0CB2">
        <w:rPr>
          <w:rFonts w:ascii="Aptos" w:hAnsi="Aptos" w:cs="Poppins"/>
          <w:b/>
          <w:bCs/>
          <w:iCs/>
          <w:sz w:val="22"/>
          <w:szCs w:val="22"/>
        </w:rPr>
        <w:t>e la</w:t>
      </w:r>
      <w:r w:rsidR="00A17640">
        <w:rPr>
          <w:rFonts w:ascii="Aptos" w:hAnsi="Aptos" w:cs="Poppins"/>
          <w:b/>
          <w:bCs/>
          <w:iCs/>
          <w:sz w:val="22"/>
          <w:szCs w:val="22"/>
        </w:rPr>
        <w:t xml:space="preserve"> Nièvre </w:t>
      </w:r>
      <w:r w:rsidR="00DF7F6A">
        <w:rPr>
          <w:rFonts w:ascii="Aptos" w:hAnsi="Aptos" w:cs="Poppins"/>
          <w:b/>
          <w:bCs/>
          <w:iCs/>
          <w:sz w:val="22"/>
          <w:szCs w:val="22"/>
        </w:rPr>
        <w:t>pour la période du 01/01/2026 au 31/12/20</w:t>
      </w:r>
      <w:r w:rsidR="00A17640">
        <w:rPr>
          <w:rFonts w:ascii="Aptos" w:hAnsi="Aptos" w:cs="Poppins"/>
          <w:b/>
          <w:bCs/>
          <w:iCs/>
          <w:sz w:val="22"/>
          <w:szCs w:val="22"/>
        </w:rPr>
        <w:t>30</w:t>
      </w:r>
    </w:p>
    <w:p w14:paraId="16DF26DD" w14:textId="77777777" w:rsidR="0081617F" w:rsidRPr="007F54B3" w:rsidRDefault="0081617F" w:rsidP="00F5155B">
      <w:pPr>
        <w:rPr>
          <w:rFonts w:ascii="Aptos" w:eastAsia="Calibri" w:hAnsi="Aptos"/>
          <w:b/>
          <w:bCs/>
          <w:color w:val="000000"/>
          <w:sz w:val="22"/>
          <w:szCs w:val="22"/>
        </w:rPr>
      </w:pPr>
    </w:p>
    <w:p w14:paraId="08E97CA9" w14:textId="0A039893" w:rsidR="00CE4441" w:rsidRPr="007F54B3" w:rsidRDefault="00CE4441" w:rsidP="00CE4441">
      <w:pPr>
        <w:jc w:val="both"/>
        <w:rPr>
          <w:rFonts w:ascii="Aptos" w:hAnsi="Aptos"/>
          <w:bCs/>
          <w:sz w:val="22"/>
          <w:szCs w:val="22"/>
          <w:lang w:eastAsia="en-US"/>
        </w:rPr>
      </w:pPr>
      <w:r w:rsidRPr="007F54B3">
        <w:rPr>
          <w:rFonts w:ascii="Aptos" w:hAnsi="Aptos"/>
          <w:bCs/>
          <w:sz w:val="22"/>
          <w:szCs w:val="22"/>
          <w:lang w:eastAsia="en-US"/>
        </w:rPr>
        <w:t xml:space="preserve">Considérant que le </w:t>
      </w:r>
      <w:r w:rsidR="00101D91">
        <w:rPr>
          <w:rFonts w:ascii="Aptos" w:hAnsi="Aptos"/>
          <w:bCs/>
          <w:sz w:val="22"/>
          <w:szCs w:val="22"/>
          <w:lang w:eastAsia="en-US"/>
        </w:rPr>
        <w:t>c</w:t>
      </w:r>
      <w:r w:rsidRPr="007F54B3">
        <w:rPr>
          <w:rFonts w:ascii="Aptos" w:hAnsi="Aptos"/>
          <w:bCs/>
          <w:sz w:val="22"/>
          <w:szCs w:val="22"/>
          <w:lang w:eastAsia="en-US"/>
        </w:rPr>
        <w:t xml:space="preserve">entre de </w:t>
      </w:r>
      <w:r w:rsidR="00101D91">
        <w:rPr>
          <w:rFonts w:ascii="Aptos" w:hAnsi="Aptos"/>
          <w:bCs/>
          <w:sz w:val="22"/>
          <w:szCs w:val="22"/>
          <w:lang w:eastAsia="en-US"/>
        </w:rPr>
        <w:t>g</w:t>
      </w:r>
      <w:r w:rsidRPr="007F54B3">
        <w:rPr>
          <w:rFonts w:ascii="Aptos" w:hAnsi="Aptos"/>
          <w:bCs/>
          <w:sz w:val="22"/>
          <w:szCs w:val="22"/>
          <w:lang w:eastAsia="en-US"/>
        </w:rPr>
        <w:t xml:space="preserve">estion de la </w:t>
      </w:r>
      <w:r w:rsidR="00101D91">
        <w:rPr>
          <w:rFonts w:ascii="Aptos" w:hAnsi="Aptos"/>
          <w:bCs/>
          <w:sz w:val="22"/>
          <w:szCs w:val="22"/>
          <w:lang w:eastAsia="en-US"/>
        </w:rPr>
        <w:t>f</w:t>
      </w:r>
      <w:r w:rsidRPr="007F54B3">
        <w:rPr>
          <w:rFonts w:ascii="Aptos" w:hAnsi="Aptos"/>
          <w:bCs/>
          <w:sz w:val="22"/>
          <w:szCs w:val="22"/>
          <w:lang w:eastAsia="en-US"/>
        </w:rPr>
        <w:t xml:space="preserve">onction </w:t>
      </w:r>
      <w:r w:rsidR="00101D91">
        <w:rPr>
          <w:rFonts w:ascii="Aptos" w:hAnsi="Aptos"/>
          <w:bCs/>
          <w:sz w:val="22"/>
          <w:szCs w:val="22"/>
          <w:lang w:eastAsia="en-US"/>
        </w:rPr>
        <w:t>p</w:t>
      </w:r>
      <w:r w:rsidRPr="007F54B3">
        <w:rPr>
          <w:rFonts w:ascii="Aptos" w:hAnsi="Aptos"/>
          <w:bCs/>
          <w:sz w:val="22"/>
          <w:szCs w:val="22"/>
          <w:lang w:eastAsia="en-US"/>
        </w:rPr>
        <w:t xml:space="preserve">ublique Territoriale </w:t>
      </w:r>
      <w:r w:rsidR="00E35D77" w:rsidRPr="007F54B3">
        <w:rPr>
          <w:rFonts w:ascii="Aptos" w:hAnsi="Aptos"/>
          <w:bCs/>
          <w:sz w:val="22"/>
          <w:szCs w:val="22"/>
          <w:lang w:eastAsia="en-US"/>
        </w:rPr>
        <w:t xml:space="preserve">de </w:t>
      </w:r>
      <w:r w:rsidR="00A17640">
        <w:rPr>
          <w:rFonts w:ascii="Aptos" w:hAnsi="Aptos"/>
          <w:bCs/>
          <w:sz w:val="22"/>
          <w:szCs w:val="22"/>
          <w:lang w:eastAsia="en-US"/>
        </w:rPr>
        <w:t>la Nièvre</w:t>
      </w:r>
      <w:r w:rsidRPr="007F54B3">
        <w:rPr>
          <w:rFonts w:ascii="Aptos" w:hAnsi="Aptos"/>
          <w:bCs/>
          <w:sz w:val="22"/>
          <w:szCs w:val="22"/>
          <w:lang w:eastAsia="en-US"/>
        </w:rPr>
        <w:t xml:space="preserve"> a négocié un contrat groupe d’assurance statutaire garantissant les prestations qui incombent aux employeurs territoriaux vis-à-vis de leurs agents, en cas de maladie ordinaire, longue maladie, longue durée, d’accident du travail, de maladies professionnelles, d’incapacité temporaire de travail, ou de décès en vertu de l’application des textes régissant le statut de ses agents,</w:t>
      </w:r>
    </w:p>
    <w:p w14:paraId="1AC02FCD" w14:textId="77777777" w:rsidR="00E82F97" w:rsidRPr="007F54B3" w:rsidRDefault="00E82F97" w:rsidP="00F5155B">
      <w:pPr>
        <w:rPr>
          <w:rFonts w:ascii="Aptos" w:eastAsia="Calibri" w:hAnsi="Aptos"/>
          <w:b/>
          <w:bCs/>
          <w:color w:val="000000"/>
          <w:sz w:val="22"/>
          <w:szCs w:val="22"/>
        </w:rPr>
      </w:pPr>
    </w:p>
    <w:p w14:paraId="365BA3A3" w14:textId="77777777" w:rsidR="008F68BF" w:rsidRPr="007F54B3" w:rsidRDefault="008F68BF" w:rsidP="008F68BF">
      <w:pPr>
        <w:rPr>
          <w:rFonts w:ascii="Aptos" w:eastAsia="Calibri" w:hAnsi="Aptos"/>
          <w:b/>
          <w:bCs/>
          <w:color w:val="000000"/>
          <w:sz w:val="22"/>
          <w:szCs w:val="22"/>
        </w:rPr>
      </w:pPr>
      <w:r w:rsidRPr="007F54B3">
        <w:rPr>
          <w:rFonts w:ascii="Aptos" w:eastAsia="Calibri" w:hAnsi="Aptos"/>
          <w:b/>
          <w:bCs/>
          <w:color w:val="000000"/>
          <w:sz w:val="22"/>
          <w:szCs w:val="22"/>
        </w:rPr>
        <w:t>Le Maire/Président expose :</w:t>
      </w:r>
    </w:p>
    <w:p w14:paraId="714B5DD1" w14:textId="6C0F8EA7" w:rsidR="008F68BF" w:rsidRDefault="008F68BF" w:rsidP="008F68BF">
      <w:pPr>
        <w:rPr>
          <w:rFonts w:ascii="Aptos" w:hAnsi="Aptos"/>
          <w:bCs/>
          <w:sz w:val="22"/>
          <w:szCs w:val="22"/>
          <w:lang w:eastAsia="en-US"/>
        </w:rPr>
      </w:pPr>
      <w:r w:rsidRPr="007F54B3">
        <w:rPr>
          <w:rFonts w:ascii="Aptos" w:hAnsi="Aptos"/>
          <w:bCs/>
          <w:sz w:val="22"/>
          <w:szCs w:val="22"/>
          <w:lang w:eastAsia="en-US"/>
        </w:rPr>
        <w:t xml:space="preserve">Que le </w:t>
      </w:r>
      <w:r w:rsidR="00804233">
        <w:rPr>
          <w:rFonts w:ascii="Aptos" w:hAnsi="Aptos"/>
          <w:bCs/>
          <w:sz w:val="22"/>
          <w:szCs w:val="22"/>
          <w:lang w:eastAsia="en-US"/>
        </w:rPr>
        <w:t>c</w:t>
      </w:r>
      <w:r w:rsidRPr="007F54B3">
        <w:rPr>
          <w:rFonts w:ascii="Aptos" w:hAnsi="Aptos"/>
          <w:bCs/>
          <w:sz w:val="22"/>
          <w:szCs w:val="22"/>
          <w:lang w:eastAsia="en-US"/>
        </w:rPr>
        <w:t xml:space="preserve">entre de </w:t>
      </w:r>
      <w:r w:rsidR="00804233">
        <w:rPr>
          <w:rFonts w:ascii="Aptos" w:hAnsi="Aptos"/>
          <w:bCs/>
          <w:sz w:val="22"/>
          <w:szCs w:val="22"/>
          <w:lang w:eastAsia="en-US"/>
        </w:rPr>
        <w:t>g</w:t>
      </w:r>
      <w:r w:rsidRPr="007F54B3">
        <w:rPr>
          <w:rFonts w:ascii="Aptos" w:hAnsi="Aptos"/>
          <w:bCs/>
          <w:sz w:val="22"/>
          <w:szCs w:val="22"/>
          <w:lang w:eastAsia="en-US"/>
        </w:rPr>
        <w:t>estion</w:t>
      </w:r>
      <w:r w:rsidR="006220B8" w:rsidRPr="007F54B3">
        <w:rPr>
          <w:rFonts w:ascii="Aptos" w:hAnsi="Aptos"/>
          <w:bCs/>
          <w:sz w:val="22"/>
          <w:szCs w:val="22"/>
          <w:lang w:eastAsia="en-US"/>
        </w:rPr>
        <w:t xml:space="preserve"> de la </w:t>
      </w:r>
      <w:r w:rsidR="00A835A6" w:rsidRPr="007F54B3">
        <w:rPr>
          <w:rFonts w:ascii="Aptos" w:hAnsi="Aptos"/>
          <w:bCs/>
          <w:sz w:val="22"/>
          <w:szCs w:val="22"/>
          <w:lang w:eastAsia="en-US"/>
        </w:rPr>
        <w:t>f</w:t>
      </w:r>
      <w:r w:rsidR="006220B8" w:rsidRPr="007F54B3">
        <w:rPr>
          <w:rFonts w:ascii="Aptos" w:hAnsi="Aptos"/>
          <w:bCs/>
          <w:sz w:val="22"/>
          <w:szCs w:val="22"/>
          <w:lang w:eastAsia="en-US"/>
        </w:rPr>
        <w:t>onction publique territoriale de</w:t>
      </w:r>
      <w:r w:rsidR="00E51918">
        <w:rPr>
          <w:rFonts w:ascii="Aptos" w:hAnsi="Aptos"/>
          <w:bCs/>
          <w:sz w:val="22"/>
          <w:szCs w:val="22"/>
          <w:lang w:eastAsia="en-US"/>
        </w:rPr>
        <w:t xml:space="preserve"> la Nièvre</w:t>
      </w:r>
      <w:r w:rsidRPr="007F54B3">
        <w:rPr>
          <w:rFonts w:ascii="Aptos" w:hAnsi="Aptos"/>
          <w:bCs/>
          <w:sz w:val="22"/>
          <w:szCs w:val="22"/>
          <w:lang w:eastAsia="en-US"/>
        </w:rPr>
        <w:t xml:space="preserve"> a communiqué à la </w:t>
      </w:r>
      <w:r w:rsidRPr="007F54B3">
        <w:rPr>
          <w:rFonts w:ascii="Aptos" w:hAnsi="Aptos"/>
          <w:bCs/>
          <w:sz w:val="22"/>
          <w:szCs w:val="22"/>
          <w:highlight w:val="cyan"/>
          <w:lang w:eastAsia="en-US"/>
        </w:rPr>
        <w:t>Commune/Établissement</w:t>
      </w:r>
      <w:r w:rsidRPr="007F54B3">
        <w:rPr>
          <w:rFonts w:ascii="Aptos" w:hAnsi="Aptos"/>
          <w:bCs/>
          <w:sz w:val="22"/>
          <w:szCs w:val="22"/>
          <w:lang w:eastAsia="en-US"/>
        </w:rPr>
        <w:t xml:space="preserve"> les résultats </w:t>
      </w:r>
      <w:r w:rsidRPr="007F54B3">
        <w:rPr>
          <w:rFonts w:ascii="Aptos" w:hAnsi="Aptos"/>
          <w:bCs/>
          <w:sz w:val="22"/>
          <w:szCs w:val="22"/>
          <w:highlight w:val="cyan"/>
          <w:lang w:eastAsia="en-US"/>
        </w:rPr>
        <w:t>la/le</w:t>
      </w:r>
      <w:r w:rsidRPr="007F54B3">
        <w:rPr>
          <w:rFonts w:ascii="Aptos" w:hAnsi="Aptos"/>
          <w:bCs/>
          <w:sz w:val="22"/>
          <w:szCs w:val="22"/>
          <w:lang w:eastAsia="en-US"/>
        </w:rPr>
        <w:t xml:space="preserve"> concernant.</w:t>
      </w:r>
    </w:p>
    <w:p w14:paraId="157561EE" w14:textId="77777777" w:rsidR="00A4037D" w:rsidRDefault="00A4037D" w:rsidP="008F68BF">
      <w:pPr>
        <w:rPr>
          <w:rFonts w:ascii="Aptos" w:hAnsi="Aptos"/>
          <w:bCs/>
          <w:sz w:val="22"/>
          <w:szCs w:val="22"/>
          <w:lang w:eastAsia="en-US"/>
        </w:rPr>
      </w:pPr>
    </w:p>
    <w:p w14:paraId="1A42A6BB" w14:textId="77777777" w:rsidR="00A4037D" w:rsidRPr="007F54B3" w:rsidRDefault="00A4037D" w:rsidP="00A4037D">
      <w:pPr>
        <w:widowControl w:val="0"/>
        <w:tabs>
          <w:tab w:val="left" w:pos="1110"/>
          <w:tab w:val="left" w:pos="9193"/>
        </w:tabs>
        <w:ind w:right="121"/>
        <w:jc w:val="both"/>
        <w:rPr>
          <w:rFonts w:ascii="Aptos" w:hAnsi="Aptos"/>
          <w:bCs/>
          <w:sz w:val="22"/>
          <w:szCs w:val="22"/>
          <w:lang w:eastAsia="en-US"/>
        </w:rPr>
      </w:pPr>
      <w:r w:rsidRPr="007F54B3">
        <w:rPr>
          <w:rFonts w:ascii="Aptos" w:hAnsi="Aptos"/>
          <w:bCs/>
          <w:sz w:val="22"/>
          <w:szCs w:val="22"/>
          <w:lang w:eastAsia="en-US"/>
        </w:rPr>
        <w:t xml:space="preserve">L’adhésion au contrat groupe est liée à la signature d’une convention de gestion permettant de définir les conditions dans lesquelles s’établissent et s’organisent les relations relatives à la gestion du contrat d’assurance statutaire souscrit par </w:t>
      </w:r>
      <w:r w:rsidRPr="007F54B3">
        <w:rPr>
          <w:rFonts w:ascii="Aptos" w:hAnsi="Aptos"/>
          <w:bCs/>
          <w:sz w:val="22"/>
          <w:szCs w:val="22"/>
          <w:highlight w:val="cyan"/>
          <w:lang w:eastAsia="en-US"/>
        </w:rPr>
        <w:t>la commune / l’établissement.</w:t>
      </w:r>
      <w:r w:rsidRPr="007F54B3">
        <w:rPr>
          <w:rFonts w:ascii="Aptos" w:hAnsi="Aptos"/>
          <w:bCs/>
          <w:sz w:val="22"/>
          <w:szCs w:val="22"/>
          <w:lang w:eastAsia="en-US"/>
        </w:rPr>
        <w:t xml:space="preserve"> </w:t>
      </w:r>
    </w:p>
    <w:p w14:paraId="34BE1099" w14:textId="77777777" w:rsidR="00A4037D" w:rsidRPr="007F54B3" w:rsidRDefault="00A4037D" w:rsidP="00A4037D">
      <w:pPr>
        <w:widowControl w:val="0"/>
        <w:tabs>
          <w:tab w:val="left" w:pos="1110"/>
          <w:tab w:val="left" w:pos="9193"/>
        </w:tabs>
        <w:ind w:right="121"/>
        <w:jc w:val="both"/>
        <w:rPr>
          <w:rFonts w:ascii="Aptos" w:hAnsi="Aptos"/>
          <w:bCs/>
          <w:sz w:val="22"/>
          <w:szCs w:val="22"/>
          <w:lang w:eastAsia="en-US"/>
        </w:rPr>
      </w:pPr>
    </w:p>
    <w:p w14:paraId="7A8F874F" w14:textId="3D585CEE" w:rsidR="00A4037D" w:rsidRPr="007F54B3" w:rsidRDefault="00A4037D" w:rsidP="00A4037D">
      <w:pPr>
        <w:widowControl w:val="0"/>
        <w:tabs>
          <w:tab w:val="left" w:pos="1110"/>
          <w:tab w:val="left" w:pos="9193"/>
        </w:tabs>
        <w:ind w:right="121"/>
        <w:jc w:val="both"/>
        <w:rPr>
          <w:rFonts w:ascii="Aptos" w:hAnsi="Aptos"/>
          <w:bCs/>
          <w:sz w:val="22"/>
          <w:szCs w:val="22"/>
          <w:lang w:eastAsia="en-US"/>
        </w:rPr>
      </w:pPr>
      <w:r w:rsidRPr="007F54B3">
        <w:rPr>
          <w:rFonts w:ascii="Aptos" w:hAnsi="Aptos"/>
          <w:bCs/>
          <w:sz w:val="22"/>
          <w:szCs w:val="22"/>
          <w:lang w:eastAsia="en-US"/>
        </w:rPr>
        <w:t xml:space="preserve">Cette convention définit les interventions du </w:t>
      </w:r>
      <w:bookmarkStart w:id="0" w:name="_Hlk208406318"/>
      <w:r>
        <w:rPr>
          <w:rFonts w:ascii="Aptos" w:hAnsi="Aptos"/>
          <w:bCs/>
          <w:sz w:val="22"/>
          <w:szCs w:val="22"/>
          <w:lang w:eastAsia="en-US"/>
        </w:rPr>
        <w:t>c</w:t>
      </w:r>
      <w:r w:rsidRPr="007F54B3">
        <w:rPr>
          <w:rFonts w:ascii="Aptos" w:hAnsi="Aptos"/>
          <w:bCs/>
          <w:sz w:val="22"/>
          <w:szCs w:val="22"/>
          <w:lang w:eastAsia="en-US"/>
        </w:rPr>
        <w:t xml:space="preserve">entre </w:t>
      </w:r>
      <w:r>
        <w:rPr>
          <w:rFonts w:ascii="Aptos" w:hAnsi="Aptos"/>
          <w:bCs/>
          <w:sz w:val="22"/>
          <w:szCs w:val="22"/>
          <w:lang w:eastAsia="en-US"/>
        </w:rPr>
        <w:t>d</w:t>
      </w:r>
      <w:r w:rsidRPr="007F54B3">
        <w:rPr>
          <w:rFonts w:ascii="Aptos" w:hAnsi="Aptos"/>
          <w:bCs/>
          <w:sz w:val="22"/>
          <w:szCs w:val="22"/>
          <w:lang w:eastAsia="en-US"/>
        </w:rPr>
        <w:t xml:space="preserve">e </w:t>
      </w:r>
      <w:r>
        <w:rPr>
          <w:rFonts w:ascii="Aptos" w:hAnsi="Aptos"/>
          <w:bCs/>
          <w:sz w:val="22"/>
          <w:szCs w:val="22"/>
          <w:lang w:eastAsia="en-US"/>
        </w:rPr>
        <w:t>g</w:t>
      </w:r>
      <w:r w:rsidRPr="007F54B3">
        <w:rPr>
          <w:rFonts w:ascii="Aptos" w:hAnsi="Aptos"/>
          <w:bCs/>
          <w:sz w:val="22"/>
          <w:szCs w:val="22"/>
          <w:lang w:eastAsia="en-US"/>
        </w:rPr>
        <w:t xml:space="preserve">estion de la </w:t>
      </w:r>
      <w:r>
        <w:rPr>
          <w:rFonts w:ascii="Aptos" w:hAnsi="Aptos"/>
          <w:bCs/>
          <w:sz w:val="22"/>
          <w:szCs w:val="22"/>
          <w:lang w:eastAsia="en-US"/>
        </w:rPr>
        <w:t>f</w:t>
      </w:r>
      <w:r w:rsidRPr="007F54B3">
        <w:rPr>
          <w:rFonts w:ascii="Aptos" w:hAnsi="Aptos"/>
          <w:bCs/>
          <w:sz w:val="22"/>
          <w:szCs w:val="22"/>
          <w:lang w:eastAsia="en-US"/>
        </w:rPr>
        <w:t xml:space="preserve">onction Publique </w:t>
      </w:r>
      <w:r>
        <w:rPr>
          <w:rFonts w:ascii="Aptos" w:hAnsi="Aptos"/>
          <w:bCs/>
          <w:sz w:val="22"/>
          <w:szCs w:val="22"/>
          <w:lang w:eastAsia="en-US"/>
        </w:rPr>
        <w:t>t</w:t>
      </w:r>
      <w:r w:rsidRPr="007F54B3">
        <w:rPr>
          <w:rFonts w:ascii="Aptos" w:hAnsi="Aptos"/>
          <w:bCs/>
          <w:sz w:val="22"/>
          <w:szCs w:val="22"/>
          <w:lang w:eastAsia="en-US"/>
        </w:rPr>
        <w:t>erritoriale de l</w:t>
      </w:r>
      <w:r w:rsidR="00C10D6C">
        <w:rPr>
          <w:rFonts w:ascii="Aptos" w:hAnsi="Aptos"/>
          <w:bCs/>
          <w:sz w:val="22"/>
          <w:szCs w:val="22"/>
          <w:lang w:eastAsia="en-US"/>
        </w:rPr>
        <w:t>a Nièvre</w:t>
      </w:r>
      <w:r w:rsidRPr="007F54B3">
        <w:rPr>
          <w:rFonts w:ascii="Aptos" w:hAnsi="Aptos"/>
          <w:bCs/>
          <w:sz w:val="22"/>
          <w:szCs w:val="22"/>
          <w:lang w:eastAsia="en-US"/>
        </w:rPr>
        <w:t xml:space="preserve"> </w:t>
      </w:r>
      <w:bookmarkEnd w:id="0"/>
      <w:r w:rsidRPr="007F54B3">
        <w:rPr>
          <w:rFonts w:ascii="Aptos" w:hAnsi="Aptos"/>
          <w:bCs/>
          <w:sz w:val="22"/>
          <w:szCs w:val="22"/>
          <w:lang w:eastAsia="en-US"/>
        </w:rPr>
        <w:t>qui portent notamment sur :</w:t>
      </w:r>
    </w:p>
    <w:p w14:paraId="6F46D7B5" w14:textId="77777777" w:rsidR="00A4037D" w:rsidRPr="007F54B3" w:rsidRDefault="00A4037D" w:rsidP="00A4037D">
      <w:pPr>
        <w:pStyle w:val="Paragraphedeliste"/>
        <w:widowControl w:val="0"/>
        <w:numPr>
          <w:ilvl w:val="0"/>
          <w:numId w:val="12"/>
        </w:numPr>
        <w:tabs>
          <w:tab w:val="left" w:pos="1110"/>
          <w:tab w:val="left" w:pos="9193"/>
        </w:tabs>
        <w:suppressAutoHyphens w:val="0"/>
        <w:spacing w:line="276" w:lineRule="auto"/>
        <w:ind w:left="709" w:right="121"/>
        <w:jc w:val="both"/>
        <w:rPr>
          <w:rFonts w:ascii="Aptos" w:hAnsi="Aptos"/>
          <w:bCs/>
          <w:sz w:val="22"/>
          <w:szCs w:val="22"/>
          <w:lang w:eastAsia="en-US"/>
        </w:rPr>
      </w:pPr>
      <w:r w:rsidRPr="007F54B3">
        <w:rPr>
          <w:rFonts w:ascii="Aptos" w:hAnsi="Aptos"/>
          <w:bCs/>
          <w:sz w:val="22"/>
          <w:szCs w:val="22"/>
          <w:lang w:eastAsia="en-US"/>
        </w:rPr>
        <w:t xml:space="preserve">La passation du marché et la souscription du contrat groupe d’assurance statutaire </w:t>
      </w:r>
    </w:p>
    <w:p w14:paraId="0BCE3E42" w14:textId="77777777" w:rsidR="00A4037D" w:rsidRPr="007F54B3" w:rsidRDefault="00A4037D" w:rsidP="00A4037D">
      <w:pPr>
        <w:pStyle w:val="Paragraphedeliste"/>
        <w:widowControl w:val="0"/>
        <w:numPr>
          <w:ilvl w:val="0"/>
          <w:numId w:val="12"/>
        </w:numPr>
        <w:tabs>
          <w:tab w:val="left" w:pos="1110"/>
          <w:tab w:val="left" w:pos="9193"/>
        </w:tabs>
        <w:suppressAutoHyphens w:val="0"/>
        <w:spacing w:line="276" w:lineRule="auto"/>
        <w:ind w:left="709" w:right="121"/>
        <w:jc w:val="both"/>
        <w:rPr>
          <w:rFonts w:ascii="Aptos" w:hAnsi="Aptos"/>
          <w:bCs/>
          <w:sz w:val="22"/>
          <w:szCs w:val="22"/>
          <w:lang w:eastAsia="en-US"/>
        </w:rPr>
      </w:pPr>
      <w:r w:rsidRPr="007F54B3">
        <w:rPr>
          <w:rFonts w:ascii="Aptos" w:hAnsi="Aptos"/>
          <w:bCs/>
          <w:sz w:val="22"/>
          <w:szCs w:val="22"/>
          <w:lang w:eastAsia="en-US"/>
        </w:rPr>
        <w:t>L’organisation et la mise en œuvre de la procédure de consultation (définition des garanties, conduite des négociations éventuelles, réception et analyse des candidatures, notification du marché et validation des pièces contractuelles).</w:t>
      </w:r>
    </w:p>
    <w:p w14:paraId="02371510" w14:textId="77777777" w:rsidR="00A4037D" w:rsidRPr="007F54B3" w:rsidRDefault="00A4037D" w:rsidP="00A4037D">
      <w:pPr>
        <w:pStyle w:val="Paragraphedeliste"/>
        <w:widowControl w:val="0"/>
        <w:numPr>
          <w:ilvl w:val="0"/>
          <w:numId w:val="12"/>
        </w:numPr>
        <w:tabs>
          <w:tab w:val="left" w:pos="1110"/>
          <w:tab w:val="left" w:pos="9193"/>
        </w:tabs>
        <w:suppressAutoHyphens w:val="0"/>
        <w:spacing w:line="276" w:lineRule="auto"/>
        <w:ind w:left="709" w:right="121"/>
        <w:jc w:val="both"/>
        <w:rPr>
          <w:rFonts w:ascii="Aptos" w:hAnsi="Aptos"/>
          <w:bCs/>
          <w:sz w:val="22"/>
          <w:szCs w:val="22"/>
          <w:lang w:eastAsia="en-US"/>
        </w:rPr>
      </w:pPr>
      <w:r w:rsidRPr="007F54B3">
        <w:rPr>
          <w:rFonts w:ascii="Aptos" w:hAnsi="Aptos"/>
          <w:bCs/>
          <w:sz w:val="22"/>
          <w:szCs w:val="22"/>
          <w:lang w:eastAsia="en-US"/>
        </w:rPr>
        <w:t>La gestion des adhésions au contrat groupe d’assurance statutaire et aux contrats d’assurances statutaires.</w:t>
      </w:r>
    </w:p>
    <w:p w14:paraId="162FCB4D" w14:textId="30AD5BB5" w:rsidR="00A4037D" w:rsidRPr="007F54B3" w:rsidRDefault="00A4037D" w:rsidP="00A4037D">
      <w:pPr>
        <w:pStyle w:val="Paragraphedeliste"/>
        <w:widowControl w:val="0"/>
        <w:numPr>
          <w:ilvl w:val="0"/>
          <w:numId w:val="12"/>
        </w:numPr>
        <w:tabs>
          <w:tab w:val="left" w:pos="1110"/>
          <w:tab w:val="left" w:pos="9193"/>
        </w:tabs>
        <w:suppressAutoHyphens w:val="0"/>
        <w:spacing w:line="276" w:lineRule="auto"/>
        <w:ind w:left="709" w:right="121"/>
        <w:jc w:val="both"/>
        <w:rPr>
          <w:rFonts w:ascii="Aptos" w:hAnsi="Aptos"/>
          <w:bCs/>
          <w:sz w:val="22"/>
          <w:szCs w:val="22"/>
          <w:lang w:eastAsia="en-US"/>
        </w:rPr>
      </w:pPr>
      <w:r w:rsidRPr="007F54B3">
        <w:rPr>
          <w:rFonts w:ascii="Aptos" w:hAnsi="Aptos"/>
          <w:bCs/>
          <w:sz w:val="22"/>
          <w:szCs w:val="22"/>
          <w:lang w:eastAsia="en-US"/>
        </w:rPr>
        <w:t xml:space="preserve">L’exécution du marché pendant toute sa durée (le </w:t>
      </w:r>
      <w:r>
        <w:rPr>
          <w:rFonts w:ascii="Aptos" w:hAnsi="Aptos"/>
          <w:bCs/>
          <w:sz w:val="22"/>
          <w:szCs w:val="22"/>
          <w:lang w:eastAsia="en-US"/>
        </w:rPr>
        <w:t>c</w:t>
      </w:r>
      <w:r w:rsidRPr="007F54B3">
        <w:rPr>
          <w:rFonts w:ascii="Aptos" w:hAnsi="Aptos"/>
          <w:bCs/>
          <w:sz w:val="22"/>
          <w:szCs w:val="22"/>
          <w:lang w:eastAsia="en-US"/>
        </w:rPr>
        <w:t xml:space="preserve">entre </w:t>
      </w:r>
      <w:r>
        <w:rPr>
          <w:rFonts w:ascii="Aptos" w:hAnsi="Aptos"/>
          <w:bCs/>
          <w:sz w:val="22"/>
          <w:szCs w:val="22"/>
          <w:lang w:eastAsia="en-US"/>
        </w:rPr>
        <w:t>d</w:t>
      </w:r>
      <w:r w:rsidRPr="007F54B3">
        <w:rPr>
          <w:rFonts w:ascii="Aptos" w:hAnsi="Aptos"/>
          <w:bCs/>
          <w:sz w:val="22"/>
          <w:szCs w:val="22"/>
          <w:lang w:eastAsia="en-US"/>
        </w:rPr>
        <w:t xml:space="preserve">e </w:t>
      </w:r>
      <w:r>
        <w:rPr>
          <w:rFonts w:ascii="Aptos" w:hAnsi="Aptos"/>
          <w:bCs/>
          <w:sz w:val="22"/>
          <w:szCs w:val="22"/>
          <w:lang w:eastAsia="en-US"/>
        </w:rPr>
        <w:t>g</w:t>
      </w:r>
      <w:r w:rsidRPr="007F54B3">
        <w:rPr>
          <w:rFonts w:ascii="Aptos" w:hAnsi="Aptos"/>
          <w:bCs/>
          <w:sz w:val="22"/>
          <w:szCs w:val="22"/>
          <w:lang w:eastAsia="en-US"/>
        </w:rPr>
        <w:t xml:space="preserve">estion de la </w:t>
      </w:r>
      <w:r>
        <w:rPr>
          <w:rFonts w:ascii="Aptos" w:hAnsi="Aptos"/>
          <w:bCs/>
          <w:sz w:val="22"/>
          <w:szCs w:val="22"/>
          <w:lang w:eastAsia="en-US"/>
        </w:rPr>
        <w:t>f</w:t>
      </w:r>
      <w:r w:rsidRPr="007F54B3">
        <w:rPr>
          <w:rFonts w:ascii="Aptos" w:hAnsi="Aptos"/>
          <w:bCs/>
          <w:sz w:val="22"/>
          <w:szCs w:val="22"/>
          <w:lang w:eastAsia="en-US"/>
        </w:rPr>
        <w:t xml:space="preserve">onction Publique </w:t>
      </w:r>
      <w:r>
        <w:rPr>
          <w:rFonts w:ascii="Aptos" w:hAnsi="Aptos"/>
          <w:bCs/>
          <w:sz w:val="22"/>
          <w:szCs w:val="22"/>
          <w:lang w:eastAsia="en-US"/>
        </w:rPr>
        <w:t>t</w:t>
      </w:r>
      <w:r w:rsidRPr="007F54B3">
        <w:rPr>
          <w:rFonts w:ascii="Aptos" w:hAnsi="Aptos"/>
          <w:bCs/>
          <w:sz w:val="22"/>
          <w:szCs w:val="22"/>
          <w:lang w:eastAsia="en-US"/>
        </w:rPr>
        <w:t>erritoriale de l</w:t>
      </w:r>
      <w:r w:rsidR="008521F2">
        <w:rPr>
          <w:rFonts w:ascii="Aptos" w:hAnsi="Aptos"/>
          <w:bCs/>
          <w:sz w:val="22"/>
          <w:szCs w:val="22"/>
          <w:lang w:eastAsia="en-US"/>
        </w:rPr>
        <w:t>a Nièvre</w:t>
      </w:r>
      <w:r w:rsidRPr="007F54B3">
        <w:rPr>
          <w:rFonts w:ascii="Aptos" w:hAnsi="Aptos"/>
          <w:bCs/>
          <w:sz w:val="22"/>
          <w:szCs w:val="22"/>
          <w:lang w:eastAsia="en-US"/>
        </w:rPr>
        <w:t xml:space="preserve"> est</w:t>
      </w:r>
      <w:r w:rsidR="009E0CB2">
        <w:rPr>
          <w:rFonts w:ascii="Aptos" w:hAnsi="Aptos"/>
          <w:bCs/>
          <w:sz w:val="22"/>
          <w:szCs w:val="22"/>
          <w:lang w:eastAsia="en-US"/>
        </w:rPr>
        <w:t>,</w:t>
      </w:r>
      <w:r w:rsidRPr="007F54B3">
        <w:rPr>
          <w:rFonts w:ascii="Aptos" w:hAnsi="Aptos"/>
          <w:bCs/>
          <w:sz w:val="22"/>
          <w:szCs w:val="22"/>
          <w:lang w:eastAsia="en-US"/>
        </w:rPr>
        <w:t xml:space="preserve"> le seul habilité à négocier avec l’attributaire du marché les conditions d’adhésion, les éventuelles négociations tarifaires et la mise en œuvre des avenants contractuels)</w:t>
      </w:r>
    </w:p>
    <w:p w14:paraId="4296FD33" w14:textId="77777777" w:rsidR="00A4037D" w:rsidRPr="007F54B3" w:rsidRDefault="00A4037D" w:rsidP="00A4037D">
      <w:pPr>
        <w:pStyle w:val="Paragraphedeliste"/>
        <w:widowControl w:val="0"/>
        <w:numPr>
          <w:ilvl w:val="0"/>
          <w:numId w:val="12"/>
        </w:numPr>
        <w:tabs>
          <w:tab w:val="left" w:pos="1110"/>
          <w:tab w:val="left" w:pos="9193"/>
        </w:tabs>
        <w:suppressAutoHyphens w:val="0"/>
        <w:spacing w:line="276" w:lineRule="auto"/>
        <w:ind w:left="709" w:right="121"/>
        <w:jc w:val="both"/>
        <w:rPr>
          <w:rFonts w:ascii="Aptos" w:hAnsi="Aptos"/>
          <w:bCs/>
          <w:sz w:val="22"/>
          <w:szCs w:val="22"/>
          <w:lang w:eastAsia="en-US"/>
        </w:rPr>
      </w:pPr>
      <w:r w:rsidRPr="007F54B3">
        <w:rPr>
          <w:rFonts w:ascii="Aptos" w:hAnsi="Aptos"/>
          <w:bCs/>
          <w:sz w:val="22"/>
          <w:szCs w:val="22"/>
          <w:lang w:eastAsia="en-US"/>
        </w:rPr>
        <w:t xml:space="preserve">Le suivi de la sinistralité et de la pérennité des conditions financières </w:t>
      </w:r>
    </w:p>
    <w:p w14:paraId="357C6F29" w14:textId="77777777" w:rsidR="00A4037D" w:rsidRPr="007F54B3" w:rsidRDefault="00A4037D" w:rsidP="00A4037D">
      <w:pPr>
        <w:pStyle w:val="Paragraphedeliste"/>
        <w:widowControl w:val="0"/>
        <w:numPr>
          <w:ilvl w:val="0"/>
          <w:numId w:val="12"/>
        </w:numPr>
        <w:tabs>
          <w:tab w:val="left" w:pos="1110"/>
          <w:tab w:val="left" w:pos="9193"/>
        </w:tabs>
        <w:suppressAutoHyphens w:val="0"/>
        <w:spacing w:line="276" w:lineRule="auto"/>
        <w:ind w:left="709" w:right="121"/>
        <w:jc w:val="both"/>
        <w:rPr>
          <w:rFonts w:ascii="Aptos" w:hAnsi="Aptos"/>
          <w:bCs/>
          <w:sz w:val="22"/>
          <w:szCs w:val="22"/>
          <w:lang w:eastAsia="en-US"/>
        </w:rPr>
      </w:pPr>
      <w:r w:rsidRPr="007F54B3">
        <w:rPr>
          <w:rFonts w:ascii="Aptos" w:hAnsi="Aptos"/>
          <w:bCs/>
          <w:sz w:val="22"/>
          <w:szCs w:val="22"/>
          <w:lang w:eastAsia="en-US"/>
        </w:rPr>
        <w:t>L’analyse et le contrôle des comptes de résultat (contrôle des statistiques, anticipation des renégociations tarifaires et aménagements contractuels nécessaires)</w:t>
      </w:r>
    </w:p>
    <w:p w14:paraId="01C14560" w14:textId="77777777" w:rsidR="00A4037D" w:rsidRPr="007F54B3" w:rsidRDefault="00A4037D" w:rsidP="00A4037D">
      <w:pPr>
        <w:pStyle w:val="Paragraphedeliste"/>
        <w:widowControl w:val="0"/>
        <w:numPr>
          <w:ilvl w:val="0"/>
          <w:numId w:val="12"/>
        </w:numPr>
        <w:tabs>
          <w:tab w:val="left" w:pos="1110"/>
          <w:tab w:val="left" w:pos="9193"/>
        </w:tabs>
        <w:suppressAutoHyphens w:val="0"/>
        <w:spacing w:line="276" w:lineRule="auto"/>
        <w:ind w:left="709" w:right="121"/>
        <w:jc w:val="both"/>
        <w:rPr>
          <w:rFonts w:ascii="Aptos" w:hAnsi="Aptos"/>
          <w:bCs/>
          <w:sz w:val="22"/>
          <w:szCs w:val="22"/>
          <w:lang w:eastAsia="en-US"/>
        </w:rPr>
      </w:pPr>
      <w:r w:rsidRPr="007F54B3">
        <w:rPr>
          <w:rFonts w:ascii="Aptos" w:hAnsi="Aptos"/>
          <w:bCs/>
          <w:sz w:val="22"/>
          <w:szCs w:val="22"/>
          <w:lang w:eastAsia="en-US"/>
        </w:rPr>
        <w:t>La mise en œuvre des actions de préventions en lien avec les situations propres des collectivités et des établissements publics, afin de les accompagner au mieux dans le pilotage des risques.</w:t>
      </w:r>
    </w:p>
    <w:p w14:paraId="411CB4AF" w14:textId="77777777" w:rsidR="002005A0" w:rsidRDefault="00A4037D" w:rsidP="002005A0">
      <w:pPr>
        <w:pStyle w:val="Paragraphedeliste"/>
        <w:widowControl w:val="0"/>
        <w:numPr>
          <w:ilvl w:val="0"/>
          <w:numId w:val="12"/>
        </w:numPr>
        <w:tabs>
          <w:tab w:val="left" w:pos="1110"/>
          <w:tab w:val="left" w:pos="9193"/>
        </w:tabs>
        <w:suppressAutoHyphens w:val="0"/>
        <w:spacing w:line="276" w:lineRule="auto"/>
        <w:ind w:left="709" w:right="121"/>
        <w:jc w:val="both"/>
        <w:rPr>
          <w:rFonts w:ascii="Aptos" w:hAnsi="Aptos"/>
          <w:bCs/>
          <w:sz w:val="22"/>
          <w:szCs w:val="22"/>
          <w:lang w:eastAsia="en-US"/>
        </w:rPr>
      </w:pPr>
      <w:r w:rsidRPr="007F54B3">
        <w:rPr>
          <w:rFonts w:ascii="Aptos" w:hAnsi="Aptos"/>
          <w:bCs/>
          <w:sz w:val="22"/>
          <w:szCs w:val="22"/>
          <w:lang w:eastAsia="en-US"/>
        </w:rPr>
        <w:t xml:space="preserve">La communication et la promotion du contrat groupe d’assurance statutaire : le </w:t>
      </w:r>
      <w:r>
        <w:rPr>
          <w:rFonts w:ascii="Aptos" w:hAnsi="Aptos"/>
          <w:bCs/>
          <w:sz w:val="22"/>
          <w:szCs w:val="22"/>
          <w:lang w:eastAsia="en-US"/>
        </w:rPr>
        <w:t>c</w:t>
      </w:r>
      <w:r w:rsidRPr="007F54B3">
        <w:rPr>
          <w:rFonts w:ascii="Aptos" w:hAnsi="Aptos"/>
          <w:bCs/>
          <w:sz w:val="22"/>
          <w:szCs w:val="22"/>
          <w:lang w:eastAsia="en-US"/>
        </w:rPr>
        <w:t xml:space="preserve">entre </w:t>
      </w:r>
      <w:r>
        <w:rPr>
          <w:rFonts w:ascii="Aptos" w:hAnsi="Aptos"/>
          <w:bCs/>
          <w:sz w:val="22"/>
          <w:szCs w:val="22"/>
          <w:lang w:eastAsia="en-US"/>
        </w:rPr>
        <w:t>d</w:t>
      </w:r>
      <w:r w:rsidRPr="007F54B3">
        <w:rPr>
          <w:rFonts w:ascii="Aptos" w:hAnsi="Aptos"/>
          <w:bCs/>
          <w:sz w:val="22"/>
          <w:szCs w:val="22"/>
          <w:lang w:eastAsia="en-US"/>
        </w:rPr>
        <w:t xml:space="preserve">e </w:t>
      </w:r>
      <w:r>
        <w:rPr>
          <w:rFonts w:ascii="Aptos" w:hAnsi="Aptos"/>
          <w:bCs/>
          <w:sz w:val="22"/>
          <w:szCs w:val="22"/>
          <w:lang w:eastAsia="en-US"/>
        </w:rPr>
        <w:t>g</w:t>
      </w:r>
      <w:r w:rsidRPr="007F54B3">
        <w:rPr>
          <w:rFonts w:ascii="Aptos" w:hAnsi="Aptos"/>
          <w:bCs/>
          <w:sz w:val="22"/>
          <w:szCs w:val="22"/>
          <w:lang w:eastAsia="en-US"/>
        </w:rPr>
        <w:t xml:space="preserve">estion de la </w:t>
      </w:r>
      <w:r>
        <w:rPr>
          <w:rFonts w:ascii="Aptos" w:hAnsi="Aptos"/>
          <w:bCs/>
          <w:sz w:val="22"/>
          <w:szCs w:val="22"/>
          <w:lang w:eastAsia="en-US"/>
        </w:rPr>
        <w:t>f</w:t>
      </w:r>
      <w:r w:rsidRPr="007F54B3">
        <w:rPr>
          <w:rFonts w:ascii="Aptos" w:hAnsi="Aptos"/>
          <w:bCs/>
          <w:sz w:val="22"/>
          <w:szCs w:val="22"/>
          <w:lang w:eastAsia="en-US"/>
        </w:rPr>
        <w:t xml:space="preserve">onction Publique </w:t>
      </w:r>
      <w:r>
        <w:rPr>
          <w:rFonts w:ascii="Aptos" w:hAnsi="Aptos"/>
          <w:bCs/>
          <w:sz w:val="22"/>
          <w:szCs w:val="22"/>
          <w:lang w:eastAsia="en-US"/>
        </w:rPr>
        <w:t>t</w:t>
      </w:r>
      <w:r w:rsidRPr="007F54B3">
        <w:rPr>
          <w:rFonts w:ascii="Aptos" w:hAnsi="Aptos"/>
          <w:bCs/>
          <w:sz w:val="22"/>
          <w:szCs w:val="22"/>
          <w:lang w:eastAsia="en-US"/>
        </w:rPr>
        <w:t xml:space="preserve">erritoriale de </w:t>
      </w:r>
      <w:r w:rsidR="001D4310">
        <w:rPr>
          <w:rFonts w:ascii="Aptos" w:hAnsi="Aptos"/>
          <w:bCs/>
          <w:sz w:val="22"/>
          <w:szCs w:val="22"/>
          <w:lang w:eastAsia="en-US"/>
        </w:rPr>
        <w:t>la Nièvre</w:t>
      </w:r>
      <w:r w:rsidRPr="007F54B3">
        <w:rPr>
          <w:rFonts w:ascii="Aptos" w:hAnsi="Aptos"/>
          <w:bCs/>
          <w:sz w:val="22"/>
          <w:szCs w:val="22"/>
          <w:lang w:eastAsia="en-US"/>
        </w:rPr>
        <w:t xml:space="preserve"> assistera et conseillera les collectivités et les établissements publics sur toute problématique statutaire ou tout litige éventuel avec l’attributaire du marché</w:t>
      </w:r>
    </w:p>
    <w:p w14:paraId="10C02D64" w14:textId="32337122" w:rsidR="002005A0" w:rsidRPr="002005A0" w:rsidRDefault="002005A0" w:rsidP="002005A0">
      <w:pPr>
        <w:pStyle w:val="Paragraphedeliste"/>
        <w:widowControl w:val="0"/>
        <w:numPr>
          <w:ilvl w:val="0"/>
          <w:numId w:val="12"/>
        </w:numPr>
        <w:tabs>
          <w:tab w:val="left" w:pos="1110"/>
          <w:tab w:val="left" w:pos="9193"/>
        </w:tabs>
        <w:suppressAutoHyphens w:val="0"/>
        <w:spacing w:line="276" w:lineRule="auto"/>
        <w:ind w:left="709" w:right="121"/>
        <w:jc w:val="both"/>
        <w:rPr>
          <w:rFonts w:ascii="Aptos" w:hAnsi="Aptos"/>
          <w:bCs/>
          <w:sz w:val="22"/>
          <w:szCs w:val="22"/>
          <w:lang w:eastAsia="en-US"/>
        </w:rPr>
      </w:pPr>
      <w:r w:rsidRPr="002005A0">
        <w:rPr>
          <w:rFonts w:asciiTheme="minorHAnsi" w:hAnsiTheme="minorHAnsi" w:cstheme="minorHAnsi"/>
          <w:sz w:val="22"/>
          <w:szCs w:val="22"/>
          <w:lang w:eastAsia="fr-FR"/>
        </w:rPr>
        <w:t xml:space="preserve">L’ensemble des tâches administratives nécessaires à la gestion des sinistres (réception des demandes d’indemnisations, saisie dans l’interface de l’attributaire du marché après analyse de la complétude des dossiers, déclenchement des prestations. En cas de dossier incomplet </w:t>
      </w:r>
      <w:r w:rsidRPr="002005A0">
        <w:rPr>
          <w:rFonts w:asciiTheme="minorHAnsi" w:hAnsiTheme="minorHAnsi" w:cstheme="minorHAnsi"/>
          <w:sz w:val="22"/>
          <w:szCs w:val="22"/>
          <w:lang w:eastAsia="fr-FR"/>
        </w:rPr>
        <w:lastRenderedPageBreak/>
        <w:t>le Centre de Gestion assurera un service de veille et de relance des collectivités pour collecter les pièces manquantes. Le Centre de Gestion archivera également toutes les pièces et données relatives à la gestion des demandes d’indemnisation. Enfin, le centre de gestion participera à la gestion des frais médicaux (contrôle des frais médicaux indemnisés en lien avec l’attributaire du marché)</w:t>
      </w:r>
    </w:p>
    <w:p w14:paraId="5D622B68" w14:textId="77777777" w:rsidR="00D7142A" w:rsidRPr="009E0CB2" w:rsidRDefault="00D7142A" w:rsidP="00D7142A">
      <w:pPr>
        <w:widowControl w:val="0"/>
        <w:tabs>
          <w:tab w:val="left" w:pos="1110"/>
          <w:tab w:val="left" w:pos="9193"/>
        </w:tabs>
        <w:suppressAutoHyphens w:val="0"/>
        <w:spacing w:line="276" w:lineRule="auto"/>
        <w:ind w:right="121"/>
        <w:jc w:val="both"/>
        <w:rPr>
          <w:rFonts w:ascii="Aptos" w:hAnsi="Aptos"/>
          <w:bCs/>
          <w:sz w:val="16"/>
          <w:szCs w:val="16"/>
          <w:lang w:eastAsia="en-US"/>
        </w:rPr>
      </w:pPr>
    </w:p>
    <w:p w14:paraId="25D94C95" w14:textId="1F3A33BA" w:rsidR="00F5155B" w:rsidRPr="007F54B3" w:rsidRDefault="00EC3C63" w:rsidP="00F5155B">
      <w:pPr>
        <w:rPr>
          <w:rFonts w:ascii="Aptos" w:eastAsia="Calibri" w:hAnsi="Aptos"/>
          <w:b/>
          <w:bCs/>
          <w:color w:val="000000"/>
          <w:sz w:val="22"/>
          <w:szCs w:val="22"/>
        </w:rPr>
      </w:pPr>
      <w:r w:rsidRPr="007F54B3">
        <w:rPr>
          <w:rFonts w:ascii="Aptos" w:eastAsia="Calibri" w:hAnsi="Aptos"/>
          <w:b/>
          <w:bCs/>
          <w:color w:val="000000"/>
          <w:sz w:val="22"/>
          <w:szCs w:val="22"/>
        </w:rPr>
        <w:t xml:space="preserve">Le Conseil </w:t>
      </w:r>
      <w:r w:rsidRPr="007F54B3">
        <w:rPr>
          <w:rFonts w:ascii="Aptos" w:eastAsia="Calibri" w:hAnsi="Aptos"/>
          <w:b/>
          <w:bCs/>
          <w:color w:val="000000"/>
          <w:sz w:val="22"/>
          <w:szCs w:val="22"/>
          <w:highlight w:val="cyan"/>
        </w:rPr>
        <w:t>municipal</w:t>
      </w:r>
      <w:r w:rsidR="00911257" w:rsidRPr="007F54B3">
        <w:rPr>
          <w:rFonts w:ascii="Aptos" w:eastAsia="Calibri" w:hAnsi="Aptos"/>
          <w:b/>
          <w:bCs/>
          <w:color w:val="000000"/>
          <w:sz w:val="22"/>
          <w:szCs w:val="22"/>
          <w:highlight w:val="cyan"/>
        </w:rPr>
        <w:t xml:space="preserve"> / </w:t>
      </w:r>
      <w:r w:rsidR="00A87A2B" w:rsidRPr="007F54B3">
        <w:rPr>
          <w:rFonts w:ascii="Aptos" w:eastAsia="Calibri" w:hAnsi="Aptos"/>
          <w:b/>
          <w:bCs/>
          <w:color w:val="000000"/>
          <w:sz w:val="22"/>
          <w:szCs w:val="22"/>
          <w:highlight w:val="cyan"/>
        </w:rPr>
        <w:t xml:space="preserve">communautaire / </w:t>
      </w:r>
      <w:r w:rsidRPr="007F54B3">
        <w:rPr>
          <w:rFonts w:ascii="Aptos" w:eastAsia="Calibri" w:hAnsi="Aptos"/>
          <w:b/>
          <w:bCs/>
          <w:color w:val="000000"/>
          <w:sz w:val="22"/>
          <w:szCs w:val="22"/>
          <w:highlight w:val="cyan"/>
        </w:rPr>
        <w:t>d’administration</w:t>
      </w:r>
      <w:r w:rsidR="00F5155B" w:rsidRPr="007F54B3">
        <w:rPr>
          <w:rFonts w:ascii="Aptos" w:hAnsi="Aptos" w:cs="Poppins"/>
          <w:b/>
          <w:bCs/>
          <w:iCs/>
          <w:sz w:val="22"/>
          <w:szCs w:val="22"/>
        </w:rPr>
        <w:t xml:space="preserve"> </w:t>
      </w:r>
      <w:r w:rsidR="00F5155B" w:rsidRPr="007F54B3">
        <w:rPr>
          <w:rFonts w:ascii="Aptos" w:eastAsia="Calibri" w:hAnsi="Aptos"/>
          <w:b/>
          <w:bCs/>
          <w:color w:val="000000"/>
          <w:sz w:val="22"/>
          <w:szCs w:val="22"/>
        </w:rPr>
        <w:t>après en avoir délibéré :</w:t>
      </w:r>
    </w:p>
    <w:p w14:paraId="43A5EAD3" w14:textId="1C5BBFC8" w:rsidR="00EC3C63" w:rsidRPr="009E0CB2" w:rsidRDefault="00EC3C63" w:rsidP="00EC3C63">
      <w:pPr>
        <w:ind w:firstLine="142"/>
        <w:jc w:val="both"/>
        <w:rPr>
          <w:rFonts w:ascii="Aptos" w:eastAsia="Calibri" w:hAnsi="Aptos"/>
          <w:color w:val="000000"/>
          <w:sz w:val="16"/>
          <w:szCs w:val="16"/>
        </w:rPr>
      </w:pPr>
    </w:p>
    <w:p w14:paraId="45A51F5E" w14:textId="60FCAE28" w:rsidR="00EC3C63" w:rsidRPr="007F54B3" w:rsidRDefault="009E0CB2" w:rsidP="00911257">
      <w:pPr>
        <w:ind w:left="284"/>
        <w:jc w:val="both"/>
        <w:rPr>
          <w:rFonts w:ascii="Aptos" w:eastAsia="Calibri" w:hAnsi="Aptos"/>
          <w:i/>
          <w:iCs/>
          <w:color w:val="000000"/>
          <w:sz w:val="22"/>
          <w:szCs w:val="22"/>
        </w:rPr>
      </w:pPr>
      <w:r>
        <w:rPr>
          <w:rFonts w:ascii="Aptos" w:eastAsia="Calibri" w:hAnsi="Aptos"/>
          <w:i/>
          <w:iCs/>
          <w:color w:val="000000"/>
          <w:sz w:val="22"/>
          <w:szCs w:val="22"/>
        </w:rPr>
        <w:t>-</w:t>
      </w:r>
      <w:r w:rsidR="00EC3C63" w:rsidRPr="007F54B3">
        <w:rPr>
          <w:rFonts w:ascii="Aptos" w:eastAsia="Calibri" w:hAnsi="Aptos"/>
          <w:i/>
          <w:iCs/>
          <w:color w:val="000000"/>
          <w:sz w:val="22"/>
          <w:szCs w:val="22"/>
        </w:rPr>
        <w:t>Vu le Code général d</w:t>
      </w:r>
      <w:r w:rsidR="00E52C89" w:rsidRPr="007F54B3">
        <w:rPr>
          <w:rFonts w:ascii="Aptos" w:eastAsia="Calibri" w:hAnsi="Aptos"/>
          <w:i/>
          <w:iCs/>
          <w:color w:val="000000"/>
          <w:sz w:val="22"/>
          <w:szCs w:val="22"/>
        </w:rPr>
        <w:t>es collectivités territoriales</w:t>
      </w:r>
      <w:r w:rsidR="00EC3C63" w:rsidRPr="007F54B3">
        <w:rPr>
          <w:rFonts w:ascii="Aptos" w:eastAsia="Calibri" w:hAnsi="Aptos"/>
          <w:i/>
          <w:iCs/>
          <w:color w:val="000000"/>
          <w:sz w:val="22"/>
          <w:szCs w:val="22"/>
        </w:rPr>
        <w:t> ;</w:t>
      </w:r>
    </w:p>
    <w:p w14:paraId="6AB130AA" w14:textId="77777777" w:rsidR="00EC3C63" w:rsidRPr="009E0CB2" w:rsidRDefault="00EC3C63" w:rsidP="00911257">
      <w:pPr>
        <w:widowControl w:val="0"/>
        <w:tabs>
          <w:tab w:val="left" w:pos="9193"/>
        </w:tabs>
        <w:ind w:left="284" w:right="117"/>
        <w:outlineLvl w:val="0"/>
        <w:rPr>
          <w:rFonts w:ascii="Aptos" w:hAnsi="Aptos"/>
          <w:i/>
          <w:iCs/>
          <w:sz w:val="16"/>
          <w:szCs w:val="16"/>
          <w:lang w:eastAsia="en-US"/>
        </w:rPr>
      </w:pPr>
    </w:p>
    <w:p w14:paraId="0D666811" w14:textId="58B211D1" w:rsidR="00146618" w:rsidRPr="007F54B3" w:rsidRDefault="009E0CB2" w:rsidP="00911257">
      <w:pPr>
        <w:widowControl w:val="0"/>
        <w:tabs>
          <w:tab w:val="left" w:pos="9193"/>
        </w:tabs>
        <w:ind w:left="284" w:right="114"/>
        <w:jc w:val="both"/>
        <w:rPr>
          <w:rFonts w:ascii="Aptos" w:hAnsi="Aptos"/>
          <w:i/>
          <w:iCs/>
          <w:sz w:val="22"/>
          <w:szCs w:val="22"/>
          <w:lang w:eastAsia="en-US"/>
        </w:rPr>
      </w:pPr>
      <w:r>
        <w:rPr>
          <w:rFonts w:ascii="Aptos" w:hAnsi="Aptos"/>
          <w:i/>
          <w:iCs/>
          <w:sz w:val="22"/>
          <w:szCs w:val="22"/>
          <w:lang w:eastAsia="en-US"/>
        </w:rPr>
        <w:t>-</w:t>
      </w:r>
      <w:r w:rsidR="00146618" w:rsidRPr="007F54B3">
        <w:rPr>
          <w:rFonts w:ascii="Aptos" w:hAnsi="Aptos"/>
          <w:i/>
          <w:iCs/>
          <w:sz w:val="22"/>
          <w:szCs w:val="22"/>
          <w:lang w:eastAsia="en-US"/>
        </w:rPr>
        <w:t xml:space="preserve">Vu </w:t>
      </w:r>
      <w:r w:rsidR="00FD0A4C" w:rsidRPr="007F54B3">
        <w:rPr>
          <w:rFonts w:ascii="Aptos" w:hAnsi="Aptos"/>
          <w:i/>
          <w:iCs/>
          <w:sz w:val="22"/>
          <w:szCs w:val="22"/>
          <w:lang w:eastAsia="en-US"/>
        </w:rPr>
        <w:t>la Loi n° 84-53 du 26 janvier 1984</w:t>
      </w:r>
    </w:p>
    <w:p w14:paraId="67C2AE8E" w14:textId="77777777" w:rsidR="00241527" w:rsidRPr="009E0CB2" w:rsidRDefault="00241527" w:rsidP="00911257">
      <w:pPr>
        <w:widowControl w:val="0"/>
        <w:tabs>
          <w:tab w:val="left" w:pos="9193"/>
        </w:tabs>
        <w:ind w:left="284" w:right="114"/>
        <w:jc w:val="both"/>
        <w:rPr>
          <w:rFonts w:ascii="Aptos" w:hAnsi="Aptos"/>
          <w:i/>
          <w:iCs/>
          <w:sz w:val="16"/>
          <w:szCs w:val="16"/>
          <w:lang w:eastAsia="en-US"/>
        </w:rPr>
      </w:pPr>
    </w:p>
    <w:p w14:paraId="2AA4C998" w14:textId="42625E3C" w:rsidR="00EC3C63" w:rsidRPr="007F54B3" w:rsidRDefault="009E0CB2" w:rsidP="00911257">
      <w:pPr>
        <w:widowControl w:val="0"/>
        <w:tabs>
          <w:tab w:val="left" w:pos="9193"/>
        </w:tabs>
        <w:ind w:left="284" w:right="114"/>
        <w:jc w:val="both"/>
        <w:rPr>
          <w:rFonts w:ascii="Aptos" w:hAnsi="Aptos"/>
          <w:i/>
          <w:iCs/>
          <w:sz w:val="22"/>
          <w:szCs w:val="22"/>
          <w:lang w:eastAsia="en-US"/>
        </w:rPr>
      </w:pPr>
      <w:r>
        <w:rPr>
          <w:rFonts w:ascii="Aptos" w:hAnsi="Aptos"/>
          <w:i/>
          <w:iCs/>
          <w:sz w:val="22"/>
          <w:szCs w:val="22"/>
          <w:lang w:eastAsia="en-US"/>
        </w:rPr>
        <w:t>-</w:t>
      </w:r>
      <w:r w:rsidR="00EC3C63" w:rsidRPr="007F54B3">
        <w:rPr>
          <w:rFonts w:ascii="Aptos" w:hAnsi="Aptos"/>
          <w:i/>
          <w:iCs/>
          <w:sz w:val="22"/>
          <w:szCs w:val="22"/>
          <w:lang w:eastAsia="en-US"/>
        </w:rPr>
        <w:t>Vu</w:t>
      </w:r>
      <w:r w:rsidR="00EC3C63" w:rsidRPr="007F54B3">
        <w:rPr>
          <w:rFonts w:ascii="Aptos" w:hAnsi="Aptos"/>
          <w:i/>
          <w:iCs/>
          <w:spacing w:val="7"/>
          <w:sz w:val="22"/>
          <w:szCs w:val="22"/>
          <w:lang w:eastAsia="en-US"/>
        </w:rPr>
        <w:t xml:space="preserve"> </w:t>
      </w:r>
      <w:r w:rsidR="00EC3C63" w:rsidRPr="007F54B3">
        <w:rPr>
          <w:rFonts w:ascii="Aptos" w:hAnsi="Aptos"/>
          <w:i/>
          <w:iCs/>
          <w:sz w:val="22"/>
          <w:szCs w:val="22"/>
          <w:lang w:eastAsia="en-US"/>
        </w:rPr>
        <w:t>le</w:t>
      </w:r>
      <w:r w:rsidR="00EC3C63" w:rsidRPr="007F54B3">
        <w:rPr>
          <w:rFonts w:ascii="Aptos" w:hAnsi="Aptos"/>
          <w:i/>
          <w:iCs/>
          <w:spacing w:val="9"/>
          <w:sz w:val="22"/>
          <w:szCs w:val="22"/>
          <w:lang w:eastAsia="en-US"/>
        </w:rPr>
        <w:t xml:space="preserve"> </w:t>
      </w:r>
      <w:r w:rsidR="00EC3C63" w:rsidRPr="007F54B3">
        <w:rPr>
          <w:rFonts w:ascii="Aptos" w:hAnsi="Aptos"/>
          <w:i/>
          <w:iCs/>
          <w:sz w:val="22"/>
          <w:szCs w:val="22"/>
          <w:lang w:eastAsia="en-US"/>
        </w:rPr>
        <w:t>décret</w:t>
      </w:r>
      <w:r w:rsidR="00EC3C63" w:rsidRPr="007F54B3">
        <w:rPr>
          <w:rFonts w:ascii="Aptos" w:hAnsi="Aptos"/>
          <w:i/>
          <w:iCs/>
          <w:spacing w:val="11"/>
          <w:sz w:val="22"/>
          <w:szCs w:val="22"/>
          <w:lang w:eastAsia="en-US"/>
        </w:rPr>
        <w:t xml:space="preserve"> </w:t>
      </w:r>
      <w:r w:rsidR="00EC3C63" w:rsidRPr="007F54B3">
        <w:rPr>
          <w:rFonts w:ascii="Aptos" w:hAnsi="Aptos"/>
          <w:i/>
          <w:iCs/>
          <w:sz w:val="22"/>
          <w:szCs w:val="22"/>
          <w:lang w:eastAsia="en-US"/>
        </w:rPr>
        <w:t>n°</w:t>
      </w:r>
      <w:r w:rsidR="00EC3C63" w:rsidRPr="007F54B3">
        <w:rPr>
          <w:rFonts w:ascii="Aptos" w:hAnsi="Aptos"/>
          <w:i/>
          <w:iCs/>
          <w:spacing w:val="8"/>
          <w:sz w:val="22"/>
          <w:szCs w:val="22"/>
          <w:lang w:eastAsia="en-US"/>
        </w:rPr>
        <w:t xml:space="preserve"> </w:t>
      </w:r>
      <w:r w:rsidR="00EC3C63" w:rsidRPr="007F54B3">
        <w:rPr>
          <w:rFonts w:ascii="Aptos" w:hAnsi="Aptos"/>
          <w:i/>
          <w:iCs/>
          <w:sz w:val="22"/>
          <w:szCs w:val="22"/>
          <w:lang w:eastAsia="en-US"/>
        </w:rPr>
        <w:t>86-552</w:t>
      </w:r>
      <w:r w:rsidR="00EC3C63" w:rsidRPr="007F54B3">
        <w:rPr>
          <w:rFonts w:ascii="Aptos" w:hAnsi="Aptos"/>
          <w:i/>
          <w:iCs/>
          <w:spacing w:val="9"/>
          <w:sz w:val="22"/>
          <w:szCs w:val="22"/>
          <w:lang w:eastAsia="en-US"/>
        </w:rPr>
        <w:t xml:space="preserve"> </w:t>
      </w:r>
      <w:r w:rsidR="00EC3C63" w:rsidRPr="007F54B3">
        <w:rPr>
          <w:rFonts w:ascii="Aptos" w:hAnsi="Aptos"/>
          <w:i/>
          <w:iCs/>
          <w:sz w:val="22"/>
          <w:szCs w:val="22"/>
          <w:lang w:eastAsia="en-US"/>
        </w:rPr>
        <w:t>du</w:t>
      </w:r>
      <w:r w:rsidR="00EC3C63" w:rsidRPr="007F54B3">
        <w:rPr>
          <w:rFonts w:ascii="Aptos" w:hAnsi="Aptos"/>
          <w:i/>
          <w:iCs/>
          <w:spacing w:val="7"/>
          <w:sz w:val="22"/>
          <w:szCs w:val="22"/>
          <w:lang w:eastAsia="en-US"/>
        </w:rPr>
        <w:t xml:space="preserve"> </w:t>
      </w:r>
      <w:r w:rsidR="00EC3C63" w:rsidRPr="007F54B3">
        <w:rPr>
          <w:rFonts w:ascii="Aptos" w:hAnsi="Aptos"/>
          <w:i/>
          <w:iCs/>
          <w:sz w:val="22"/>
          <w:szCs w:val="22"/>
          <w:lang w:eastAsia="en-US"/>
        </w:rPr>
        <w:t>14</w:t>
      </w:r>
      <w:r w:rsidR="00EC3C63" w:rsidRPr="007F54B3">
        <w:rPr>
          <w:rFonts w:ascii="Aptos" w:hAnsi="Aptos"/>
          <w:i/>
          <w:iCs/>
          <w:spacing w:val="12"/>
          <w:sz w:val="22"/>
          <w:szCs w:val="22"/>
          <w:lang w:eastAsia="en-US"/>
        </w:rPr>
        <w:t xml:space="preserve"> </w:t>
      </w:r>
      <w:r w:rsidR="00EC3C63" w:rsidRPr="007F54B3">
        <w:rPr>
          <w:rFonts w:ascii="Aptos" w:hAnsi="Aptos"/>
          <w:i/>
          <w:iCs/>
          <w:sz w:val="22"/>
          <w:szCs w:val="22"/>
          <w:lang w:eastAsia="en-US"/>
        </w:rPr>
        <w:t>mars</w:t>
      </w:r>
      <w:r w:rsidR="00EC3C63" w:rsidRPr="007F54B3">
        <w:rPr>
          <w:rFonts w:ascii="Aptos" w:hAnsi="Aptos"/>
          <w:i/>
          <w:iCs/>
          <w:spacing w:val="8"/>
          <w:sz w:val="22"/>
          <w:szCs w:val="22"/>
          <w:lang w:eastAsia="en-US"/>
        </w:rPr>
        <w:t xml:space="preserve"> </w:t>
      </w:r>
      <w:r w:rsidR="00EC3C63" w:rsidRPr="007F54B3">
        <w:rPr>
          <w:rFonts w:ascii="Aptos" w:hAnsi="Aptos"/>
          <w:i/>
          <w:iCs/>
          <w:sz w:val="22"/>
          <w:szCs w:val="22"/>
          <w:lang w:eastAsia="en-US"/>
        </w:rPr>
        <w:t>1986</w:t>
      </w:r>
      <w:r w:rsidR="00EC3C63" w:rsidRPr="007F54B3">
        <w:rPr>
          <w:rFonts w:ascii="Aptos" w:hAnsi="Aptos"/>
          <w:i/>
          <w:iCs/>
          <w:spacing w:val="9"/>
          <w:sz w:val="22"/>
          <w:szCs w:val="22"/>
          <w:lang w:eastAsia="en-US"/>
        </w:rPr>
        <w:t xml:space="preserve"> </w:t>
      </w:r>
      <w:r w:rsidR="00EC3C63" w:rsidRPr="007F54B3">
        <w:rPr>
          <w:rFonts w:ascii="Aptos" w:hAnsi="Aptos"/>
          <w:i/>
          <w:iCs/>
          <w:sz w:val="22"/>
          <w:szCs w:val="22"/>
          <w:lang w:eastAsia="en-US"/>
        </w:rPr>
        <w:t>pris</w:t>
      </w:r>
      <w:r w:rsidR="00EC3C63" w:rsidRPr="007F54B3">
        <w:rPr>
          <w:rFonts w:ascii="Aptos" w:hAnsi="Aptos"/>
          <w:i/>
          <w:iCs/>
          <w:spacing w:val="7"/>
          <w:sz w:val="22"/>
          <w:szCs w:val="22"/>
          <w:lang w:eastAsia="en-US"/>
        </w:rPr>
        <w:t xml:space="preserve"> </w:t>
      </w:r>
      <w:r w:rsidR="00EC3C63" w:rsidRPr="007F54B3">
        <w:rPr>
          <w:rFonts w:ascii="Aptos" w:hAnsi="Aptos"/>
          <w:i/>
          <w:iCs/>
          <w:sz w:val="22"/>
          <w:szCs w:val="22"/>
          <w:lang w:eastAsia="en-US"/>
        </w:rPr>
        <w:t>pour</w:t>
      </w:r>
      <w:r w:rsidR="00EC3C63" w:rsidRPr="007F54B3">
        <w:rPr>
          <w:rFonts w:ascii="Aptos" w:hAnsi="Aptos"/>
          <w:i/>
          <w:iCs/>
          <w:spacing w:val="9"/>
          <w:sz w:val="22"/>
          <w:szCs w:val="22"/>
          <w:lang w:eastAsia="en-US"/>
        </w:rPr>
        <w:t xml:space="preserve"> </w:t>
      </w:r>
      <w:r w:rsidR="00EC3C63" w:rsidRPr="007F54B3">
        <w:rPr>
          <w:rFonts w:ascii="Aptos" w:hAnsi="Aptos"/>
          <w:i/>
          <w:iCs/>
          <w:sz w:val="22"/>
          <w:szCs w:val="22"/>
          <w:lang w:eastAsia="en-US"/>
        </w:rPr>
        <w:t>l’application</w:t>
      </w:r>
      <w:r w:rsidR="00EC3C63" w:rsidRPr="007F54B3">
        <w:rPr>
          <w:rFonts w:ascii="Aptos" w:hAnsi="Aptos"/>
          <w:i/>
          <w:iCs/>
          <w:spacing w:val="7"/>
          <w:sz w:val="22"/>
          <w:szCs w:val="22"/>
          <w:lang w:eastAsia="en-US"/>
        </w:rPr>
        <w:t xml:space="preserve"> </w:t>
      </w:r>
      <w:r w:rsidR="00EC3C63" w:rsidRPr="007F54B3">
        <w:rPr>
          <w:rFonts w:ascii="Aptos" w:hAnsi="Aptos"/>
          <w:i/>
          <w:iCs/>
          <w:sz w:val="22"/>
          <w:szCs w:val="22"/>
          <w:lang w:eastAsia="en-US"/>
        </w:rPr>
        <w:t>de</w:t>
      </w:r>
      <w:r w:rsidR="00EC3C63" w:rsidRPr="007F54B3">
        <w:rPr>
          <w:rFonts w:ascii="Aptos" w:hAnsi="Aptos"/>
          <w:i/>
          <w:iCs/>
          <w:spacing w:val="9"/>
          <w:sz w:val="22"/>
          <w:szCs w:val="22"/>
          <w:lang w:eastAsia="en-US"/>
        </w:rPr>
        <w:t xml:space="preserve"> </w:t>
      </w:r>
      <w:r w:rsidR="00EC3C63" w:rsidRPr="007F54B3">
        <w:rPr>
          <w:rFonts w:ascii="Aptos" w:hAnsi="Aptos"/>
          <w:i/>
          <w:iCs/>
          <w:sz w:val="22"/>
          <w:szCs w:val="22"/>
          <w:lang w:eastAsia="en-US"/>
        </w:rPr>
        <w:t>l’article</w:t>
      </w:r>
      <w:r w:rsidR="00EC3C63" w:rsidRPr="007F54B3">
        <w:rPr>
          <w:rFonts w:ascii="Aptos" w:hAnsi="Aptos"/>
          <w:i/>
          <w:iCs/>
          <w:spacing w:val="9"/>
          <w:sz w:val="22"/>
          <w:szCs w:val="22"/>
          <w:lang w:eastAsia="en-US"/>
        </w:rPr>
        <w:t xml:space="preserve"> </w:t>
      </w:r>
      <w:r w:rsidR="00EC3C63" w:rsidRPr="007F54B3">
        <w:rPr>
          <w:rFonts w:ascii="Aptos" w:hAnsi="Aptos"/>
          <w:i/>
          <w:iCs/>
          <w:sz w:val="22"/>
          <w:szCs w:val="22"/>
          <w:lang w:eastAsia="en-US"/>
        </w:rPr>
        <w:t>26</w:t>
      </w:r>
      <w:r w:rsidR="00EC3C63" w:rsidRPr="007F54B3">
        <w:rPr>
          <w:rFonts w:ascii="Aptos" w:hAnsi="Aptos"/>
          <w:i/>
          <w:iCs/>
          <w:spacing w:val="9"/>
          <w:sz w:val="22"/>
          <w:szCs w:val="22"/>
          <w:lang w:eastAsia="en-US"/>
        </w:rPr>
        <w:t xml:space="preserve"> </w:t>
      </w:r>
      <w:r w:rsidR="00EC3C63" w:rsidRPr="007F54B3">
        <w:rPr>
          <w:rFonts w:ascii="Aptos" w:hAnsi="Aptos"/>
          <w:i/>
          <w:iCs/>
          <w:sz w:val="22"/>
          <w:szCs w:val="22"/>
          <w:lang w:eastAsia="en-US"/>
        </w:rPr>
        <w:t>de</w:t>
      </w:r>
      <w:r w:rsidR="00EC3C63" w:rsidRPr="007F54B3">
        <w:rPr>
          <w:rFonts w:ascii="Aptos" w:hAnsi="Aptos"/>
          <w:i/>
          <w:iCs/>
          <w:spacing w:val="9"/>
          <w:sz w:val="22"/>
          <w:szCs w:val="22"/>
          <w:lang w:eastAsia="en-US"/>
        </w:rPr>
        <w:t xml:space="preserve"> </w:t>
      </w:r>
      <w:r w:rsidR="00EC3C63" w:rsidRPr="007F54B3">
        <w:rPr>
          <w:rFonts w:ascii="Aptos" w:hAnsi="Aptos"/>
          <w:i/>
          <w:iCs/>
          <w:sz w:val="22"/>
          <w:szCs w:val="22"/>
          <w:lang w:eastAsia="en-US"/>
        </w:rPr>
        <w:t>la</w:t>
      </w:r>
      <w:r w:rsidR="00EC3C63" w:rsidRPr="007F54B3">
        <w:rPr>
          <w:rFonts w:ascii="Aptos" w:hAnsi="Aptos"/>
          <w:i/>
          <w:iCs/>
          <w:spacing w:val="18"/>
          <w:sz w:val="22"/>
          <w:szCs w:val="22"/>
          <w:lang w:eastAsia="en-US"/>
        </w:rPr>
        <w:t xml:space="preserve"> </w:t>
      </w:r>
      <w:r w:rsidR="00EC3C63" w:rsidRPr="007F54B3">
        <w:rPr>
          <w:rFonts w:ascii="Aptos" w:hAnsi="Aptos"/>
          <w:i/>
          <w:iCs/>
          <w:sz w:val="22"/>
          <w:szCs w:val="22"/>
          <w:lang w:eastAsia="en-US"/>
        </w:rPr>
        <w:t>loi</w:t>
      </w:r>
      <w:r w:rsidR="00EC3C63" w:rsidRPr="007F54B3">
        <w:rPr>
          <w:rFonts w:ascii="Aptos" w:hAnsi="Aptos"/>
          <w:i/>
          <w:iCs/>
          <w:spacing w:val="8"/>
          <w:sz w:val="22"/>
          <w:szCs w:val="22"/>
          <w:lang w:eastAsia="en-US"/>
        </w:rPr>
        <w:t xml:space="preserve"> </w:t>
      </w:r>
      <w:r w:rsidR="00EC3C63" w:rsidRPr="007F54B3">
        <w:rPr>
          <w:rFonts w:ascii="Aptos" w:hAnsi="Aptos"/>
          <w:i/>
          <w:iCs/>
          <w:sz w:val="22"/>
          <w:szCs w:val="22"/>
          <w:lang w:eastAsia="en-US"/>
        </w:rPr>
        <w:t>n°</w:t>
      </w:r>
      <w:r w:rsidR="00EC3C63" w:rsidRPr="007F54B3">
        <w:rPr>
          <w:rFonts w:ascii="Aptos" w:hAnsi="Aptos"/>
          <w:i/>
          <w:iCs/>
          <w:spacing w:val="10"/>
          <w:sz w:val="22"/>
          <w:szCs w:val="22"/>
          <w:lang w:eastAsia="en-US"/>
        </w:rPr>
        <w:t xml:space="preserve"> </w:t>
      </w:r>
      <w:r w:rsidR="00EC3C63" w:rsidRPr="007F54B3">
        <w:rPr>
          <w:rFonts w:ascii="Aptos" w:hAnsi="Aptos"/>
          <w:i/>
          <w:iCs/>
          <w:sz w:val="22"/>
          <w:szCs w:val="22"/>
          <w:lang w:eastAsia="en-US"/>
        </w:rPr>
        <w:t>84-53</w:t>
      </w:r>
      <w:r w:rsidR="00EC3C63" w:rsidRPr="007F54B3">
        <w:rPr>
          <w:rFonts w:ascii="Aptos" w:hAnsi="Aptos"/>
          <w:i/>
          <w:iCs/>
          <w:spacing w:val="9"/>
          <w:sz w:val="22"/>
          <w:szCs w:val="22"/>
          <w:lang w:eastAsia="en-US"/>
        </w:rPr>
        <w:t xml:space="preserve"> </w:t>
      </w:r>
      <w:r w:rsidR="00EC3C63" w:rsidRPr="007F54B3">
        <w:rPr>
          <w:rFonts w:ascii="Aptos" w:hAnsi="Aptos"/>
          <w:i/>
          <w:iCs/>
          <w:sz w:val="22"/>
          <w:szCs w:val="22"/>
          <w:lang w:eastAsia="en-US"/>
        </w:rPr>
        <w:t>du</w:t>
      </w:r>
      <w:r w:rsidR="00EC3C63" w:rsidRPr="007F54B3">
        <w:rPr>
          <w:rFonts w:ascii="Aptos" w:hAnsi="Aptos"/>
          <w:i/>
          <w:iCs/>
          <w:spacing w:val="7"/>
          <w:sz w:val="22"/>
          <w:szCs w:val="22"/>
          <w:lang w:eastAsia="en-US"/>
        </w:rPr>
        <w:t xml:space="preserve"> </w:t>
      </w:r>
      <w:r w:rsidR="00EC3C63" w:rsidRPr="007F54B3">
        <w:rPr>
          <w:rFonts w:ascii="Aptos" w:hAnsi="Aptos"/>
          <w:i/>
          <w:iCs/>
          <w:sz w:val="22"/>
          <w:szCs w:val="22"/>
          <w:lang w:eastAsia="en-US"/>
        </w:rPr>
        <w:t>26</w:t>
      </w:r>
      <w:r w:rsidR="00EC3C63" w:rsidRPr="007F54B3">
        <w:rPr>
          <w:rFonts w:ascii="Aptos" w:hAnsi="Aptos"/>
          <w:i/>
          <w:iCs/>
          <w:w w:val="99"/>
          <w:sz w:val="22"/>
          <w:szCs w:val="22"/>
          <w:lang w:eastAsia="en-US"/>
        </w:rPr>
        <w:t xml:space="preserve"> </w:t>
      </w:r>
      <w:r w:rsidR="00EC3C63" w:rsidRPr="007F54B3">
        <w:rPr>
          <w:rFonts w:ascii="Aptos" w:hAnsi="Aptos"/>
          <w:i/>
          <w:iCs/>
          <w:sz w:val="22"/>
          <w:szCs w:val="22"/>
          <w:lang w:eastAsia="en-US"/>
        </w:rPr>
        <w:t>janvier 1984 et relatif aux contrats d’assurances souscrits par les Centres de gestion pour le compte</w:t>
      </w:r>
      <w:r w:rsidR="00EC3C63" w:rsidRPr="007F54B3">
        <w:rPr>
          <w:rFonts w:ascii="Aptos" w:hAnsi="Aptos"/>
          <w:i/>
          <w:iCs/>
          <w:spacing w:val="38"/>
          <w:sz w:val="22"/>
          <w:szCs w:val="22"/>
          <w:lang w:eastAsia="en-US"/>
        </w:rPr>
        <w:t xml:space="preserve"> </w:t>
      </w:r>
      <w:r w:rsidR="00EC3C63" w:rsidRPr="007F54B3">
        <w:rPr>
          <w:rFonts w:ascii="Aptos" w:hAnsi="Aptos"/>
          <w:i/>
          <w:iCs/>
          <w:sz w:val="22"/>
          <w:szCs w:val="22"/>
          <w:lang w:eastAsia="en-US"/>
        </w:rPr>
        <w:t>des</w:t>
      </w:r>
      <w:r w:rsidR="00EC3C63" w:rsidRPr="007F54B3">
        <w:rPr>
          <w:rFonts w:ascii="Aptos" w:hAnsi="Aptos"/>
          <w:i/>
          <w:iCs/>
          <w:w w:val="99"/>
          <w:sz w:val="22"/>
          <w:szCs w:val="22"/>
          <w:lang w:eastAsia="en-US"/>
        </w:rPr>
        <w:t xml:space="preserve"> </w:t>
      </w:r>
      <w:r w:rsidR="00EC3C63" w:rsidRPr="007F54B3">
        <w:rPr>
          <w:rFonts w:ascii="Aptos" w:hAnsi="Aptos"/>
          <w:i/>
          <w:iCs/>
          <w:sz w:val="22"/>
          <w:szCs w:val="22"/>
          <w:lang w:eastAsia="en-US"/>
        </w:rPr>
        <w:t>collectivités et établissements territoriaux</w:t>
      </w:r>
      <w:r w:rsidR="00EC3C63" w:rsidRPr="007F54B3">
        <w:rPr>
          <w:rFonts w:ascii="Aptos" w:hAnsi="Aptos"/>
          <w:i/>
          <w:iCs/>
          <w:spacing w:val="-12"/>
          <w:sz w:val="22"/>
          <w:szCs w:val="22"/>
          <w:lang w:eastAsia="en-US"/>
        </w:rPr>
        <w:t xml:space="preserve"> </w:t>
      </w:r>
      <w:r w:rsidR="00EC3C63" w:rsidRPr="007F54B3">
        <w:rPr>
          <w:rFonts w:ascii="Aptos" w:hAnsi="Aptos"/>
          <w:i/>
          <w:iCs/>
          <w:sz w:val="22"/>
          <w:szCs w:val="22"/>
          <w:lang w:eastAsia="en-US"/>
        </w:rPr>
        <w:t>;</w:t>
      </w:r>
    </w:p>
    <w:p w14:paraId="0ED68BE9" w14:textId="77777777" w:rsidR="00EC3C63" w:rsidRPr="009E0CB2" w:rsidRDefault="00EC3C63" w:rsidP="00911257">
      <w:pPr>
        <w:widowControl w:val="0"/>
        <w:tabs>
          <w:tab w:val="left" w:pos="1110"/>
          <w:tab w:val="left" w:pos="9193"/>
        </w:tabs>
        <w:ind w:left="284" w:right="121"/>
        <w:jc w:val="both"/>
        <w:rPr>
          <w:rFonts w:ascii="Aptos" w:hAnsi="Aptos"/>
          <w:bCs/>
          <w:i/>
          <w:iCs/>
          <w:sz w:val="16"/>
          <w:szCs w:val="16"/>
          <w:lang w:eastAsia="en-US"/>
        </w:rPr>
      </w:pPr>
    </w:p>
    <w:p w14:paraId="57C22C41" w14:textId="52C5FF6F" w:rsidR="00EC3C63" w:rsidRPr="007F54B3" w:rsidRDefault="009E0CB2" w:rsidP="00911257">
      <w:pPr>
        <w:widowControl w:val="0"/>
        <w:tabs>
          <w:tab w:val="left" w:pos="1110"/>
          <w:tab w:val="left" w:pos="9193"/>
        </w:tabs>
        <w:ind w:left="284" w:right="121"/>
        <w:jc w:val="both"/>
        <w:rPr>
          <w:rFonts w:ascii="Aptos" w:hAnsi="Aptos"/>
          <w:bCs/>
          <w:i/>
          <w:iCs/>
          <w:sz w:val="22"/>
          <w:szCs w:val="22"/>
          <w:lang w:eastAsia="en-US"/>
        </w:rPr>
      </w:pPr>
      <w:r>
        <w:rPr>
          <w:rFonts w:ascii="Aptos" w:hAnsi="Aptos"/>
          <w:bCs/>
          <w:i/>
          <w:iCs/>
          <w:sz w:val="22"/>
          <w:szCs w:val="22"/>
          <w:lang w:eastAsia="en-US"/>
        </w:rPr>
        <w:t>-</w:t>
      </w:r>
      <w:r w:rsidR="00EC3C63" w:rsidRPr="007F54B3">
        <w:rPr>
          <w:rFonts w:ascii="Aptos" w:hAnsi="Aptos"/>
          <w:bCs/>
          <w:i/>
          <w:iCs/>
          <w:sz w:val="22"/>
          <w:szCs w:val="22"/>
          <w:lang w:eastAsia="en-US"/>
        </w:rPr>
        <w:t xml:space="preserve">Vu la délibération du conseil d’administration du </w:t>
      </w:r>
      <w:r w:rsidR="00DD7AA2" w:rsidRPr="007F54B3">
        <w:rPr>
          <w:rFonts w:ascii="Aptos" w:hAnsi="Aptos"/>
          <w:bCs/>
          <w:i/>
          <w:iCs/>
          <w:sz w:val="22"/>
          <w:szCs w:val="22"/>
          <w:lang w:eastAsia="en-US"/>
        </w:rPr>
        <w:t>Centre De Gestion de la Fonction Publique Terri</w:t>
      </w:r>
      <w:r w:rsidR="00C10D6C">
        <w:rPr>
          <w:rFonts w:ascii="Aptos" w:hAnsi="Aptos"/>
          <w:bCs/>
          <w:i/>
          <w:iCs/>
          <w:sz w:val="22"/>
          <w:szCs w:val="22"/>
          <w:lang w:eastAsia="en-US"/>
        </w:rPr>
        <w:t>toriale de la Nièvre</w:t>
      </w:r>
      <w:r w:rsidR="00EC3C63" w:rsidRPr="007F54B3">
        <w:rPr>
          <w:rFonts w:ascii="Aptos" w:hAnsi="Aptos"/>
          <w:bCs/>
          <w:i/>
          <w:iCs/>
          <w:sz w:val="22"/>
          <w:szCs w:val="22"/>
          <w:lang w:eastAsia="en-US"/>
        </w:rPr>
        <w:t xml:space="preserve"> </w:t>
      </w:r>
      <w:r w:rsidR="00ED1F67" w:rsidRPr="00ED1F67">
        <w:rPr>
          <w:rFonts w:ascii="Aptos" w:eastAsia="Calibri" w:hAnsi="Aptos"/>
          <w:i/>
          <w:iCs/>
          <w:color w:val="000000"/>
          <w:sz w:val="22"/>
          <w:szCs w:val="22"/>
        </w:rPr>
        <w:t>du 16/10/2025</w:t>
      </w:r>
      <w:r w:rsidR="00895DB5" w:rsidRPr="007F54B3">
        <w:rPr>
          <w:rFonts w:ascii="Aptos" w:hAnsi="Aptos"/>
          <w:bCs/>
          <w:i/>
          <w:iCs/>
          <w:sz w:val="22"/>
          <w:szCs w:val="22"/>
          <w:lang w:eastAsia="en-US"/>
        </w:rPr>
        <w:t xml:space="preserve"> </w:t>
      </w:r>
      <w:r w:rsidR="00EC3C63" w:rsidRPr="007F54B3">
        <w:rPr>
          <w:rFonts w:ascii="Aptos" w:hAnsi="Aptos"/>
          <w:bCs/>
          <w:i/>
          <w:iCs/>
          <w:sz w:val="22"/>
          <w:szCs w:val="22"/>
          <w:lang w:eastAsia="en-US"/>
        </w:rPr>
        <w:t>approuvant le lancement d’un contrat groupe d’assurance statutaire ;</w:t>
      </w:r>
    </w:p>
    <w:p w14:paraId="4F28A5CF" w14:textId="77777777" w:rsidR="00EC3C63" w:rsidRPr="009E0CB2" w:rsidRDefault="00EC3C63" w:rsidP="00911257">
      <w:pPr>
        <w:widowControl w:val="0"/>
        <w:tabs>
          <w:tab w:val="left" w:pos="1110"/>
          <w:tab w:val="left" w:pos="9193"/>
        </w:tabs>
        <w:ind w:left="284" w:right="121"/>
        <w:jc w:val="both"/>
        <w:rPr>
          <w:rFonts w:ascii="Aptos" w:hAnsi="Aptos"/>
          <w:bCs/>
          <w:i/>
          <w:iCs/>
          <w:sz w:val="16"/>
          <w:szCs w:val="16"/>
          <w:lang w:eastAsia="en-US"/>
        </w:rPr>
      </w:pPr>
    </w:p>
    <w:p w14:paraId="656DDB20" w14:textId="41C0F63B" w:rsidR="00EC3C63" w:rsidRPr="007F54B3" w:rsidRDefault="009E0CB2" w:rsidP="00911257">
      <w:pPr>
        <w:widowControl w:val="0"/>
        <w:tabs>
          <w:tab w:val="left" w:pos="1110"/>
          <w:tab w:val="left" w:pos="9193"/>
        </w:tabs>
        <w:ind w:left="284" w:right="121"/>
        <w:jc w:val="both"/>
        <w:rPr>
          <w:rFonts w:ascii="Aptos" w:hAnsi="Aptos"/>
          <w:bCs/>
          <w:i/>
          <w:iCs/>
          <w:sz w:val="22"/>
          <w:szCs w:val="22"/>
          <w:lang w:eastAsia="en-US"/>
        </w:rPr>
      </w:pPr>
      <w:r>
        <w:rPr>
          <w:rFonts w:ascii="Aptos" w:hAnsi="Aptos"/>
          <w:bCs/>
          <w:i/>
          <w:iCs/>
          <w:sz w:val="22"/>
          <w:szCs w:val="22"/>
          <w:lang w:eastAsia="en-US"/>
        </w:rPr>
        <w:t>-</w:t>
      </w:r>
      <w:r w:rsidR="00EC3C63" w:rsidRPr="007F54B3">
        <w:rPr>
          <w:rFonts w:ascii="Aptos" w:hAnsi="Aptos"/>
          <w:bCs/>
          <w:i/>
          <w:iCs/>
          <w:sz w:val="22"/>
          <w:szCs w:val="22"/>
          <w:lang w:eastAsia="en-US"/>
        </w:rPr>
        <w:t xml:space="preserve">Considérant que </w:t>
      </w:r>
      <w:r w:rsidR="00EC3C63" w:rsidRPr="007F54B3">
        <w:rPr>
          <w:rFonts w:ascii="Aptos" w:hAnsi="Aptos"/>
          <w:bCs/>
          <w:i/>
          <w:iCs/>
          <w:sz w:val="22"/>
          <w:szCs w:val="22"/>
          <w:highlight w:val="cyan"/>
          <w:lang w:eastAsia="en-US"/>
        </w:rPr>
        <w:t>la commune / l’établissement</w:t>
      </w:r>
      <w:r w:rsidR="00EC3C63" w:rsidRPr="007F54B3">
        <w:rPr>
          <w:rFonts w:ascii="Aptos" w:hAnsi="Aptos"/>
          <w:bCs/>
          <w:i/>
          <w:iCs/>
          <w:sz w:val="22"/>
          <w:szCs w:val="22"/>
          <w:lang w:eastAsia="en-US"/>
        </w:rPr>
        <w:t xml:space="preserve"> a mandaté le </w:t>
      </w:r>
      <w:r w:rsidR="00DD7AA2" w:rsidRPr="007F54B3">
        <w:rPr>
          <w:rFonts w:ascii="Aptos" w:hAnsi="Aptos"/>
          <w:bCs/>
          <w:i/>
          <w:iCs/>
          <w:sz w:val="22"/>
          <w:szCs w:val="22"/>
          <w:lang w:eastAsia="en-US"/>
        </w:rPr>
        <w:t xml:space="preserve">Centre De Gestion de la Fonction Publique Territoriale de </w:t>
      </w:r>
      <w:r w:rsidR="00C10D6C">
        <w:rPr>
          <w:rFonts w:ascii="Aptos" w:hAnsi="Aptos"/>
          <w:bCs/>
          <w:i/>
          <w:iCs/>
          <w:sz w:val="22"/>
          <w:szCs w:val="22"/>
          <w:lang w:eastAsia="en-US"/>
        </w:rPr>
        <w:t>la Nièvre</w:t>
      </w:r>
      <w:r w:rsidR="00DD7AA2" w:rsidRPr="007F54B3">
        <w:rPr>
          <w:rFonts w:ascii="Aptos" w:hAnsi="Aptos"/>
          <w:bCs/>
          <w:i/>
          <w:iCs/>
          <w:sz w:val="22"/>
          <w:szCs w:val="22"/>
          <w:lang w:eastAsia="en-US"/>
        </w:rPr>
        <w:t xml:space="preserve"> </w:t>
      </w:r>
      <w:r w:rsidR="00EC3C63" w:rsidRPr="007F54B3">
        <w:rPr>
          <w:rFonts w:ascii="Aptos" w:hAnsi="Aptos"/>
          <w:bCs/>
          <w:i/>
          <w:iCs/>
          <w:sz w:val="22"/>
          <w:szCs w:val="22"/>
          <w:lang w:eastAsia="en-US"/>
        </w:rPr>
        <w:t>afin de négocier un ou plusieurs contrats d’assurance statutaire garantissant une partie des frais laissés à sa charge, en vertu de l’application des textes régissant le statut des agents relevant de la CNRACL ;</w:t>
      </w:r>
    </w:p>
    <w:p w14:paraId="427C4E2A" w14:textId="77777777" w:rsidR="00EC3C63" w:rsidRPr="009E0CB2" w:rsidRDefault="00EC3C63" w:rsidP="00911257">
      <w:pPr>
        <w:widowControl w:val="0"/>
        <w:tabs>
          <w:tab w:val="left" w:pos="1110"/>
          <w:tab w:val="left" w:pos="9193"/>
        </w:tabs>
        <w:ind w:left="284" w:right="121"/>
        <w:jc w:val="both"/>
        <w:rPr>
          <w:rFonts w:ascii="Aptos" w:hAnsi="Aptos"/>
          <w:bCs/>
          <w:i/>
          <w:iCs/>
          <w:sz w:val="16"/>
          <w:szCs w:val="16"/>
          <w:lang w:eastAsia="en-US"/>
        </w:rPr>
      </w:pPr>
    </w:p>
    <w:p w14:paraId="35CF7E8B" w14:textId="10E524C9" w:rsidR="00EC3C63" w:rsidRPr="007F54B3" w:rsidRDefault="009E0CB2" w:rsidP="00911257">
      <w:pPr>
        <w:widowControl w:val="0"/>
        <w:tabs>
          <w:tab w:val="left" w:pos="1110"/>
          <w:tab w:val="left" w:pos="9193"/>
        </w:tabs>
        <w:ind w:left="284" w:right="121"/>
        <w:jc w:val="both"/>
        <w:rPr>
          <w:rFonts w:ascii="Aptos" w:hAnsi="Aptos"/>
          <w:bCs/>
          <w:i/>
          <w:iCs/>
          <w:sz w:val="22"/>
          <w:szCs w:val="22"/>
          <w:lang w:eastAsia="en-US"/>
        </w:rPr>
      </w:pPr>
      <w:r>
        <w:rPr>
          <w:rFonts w:ascii="Aptos" w:hAnsi="Aptos"/>
          <w:bCs/>
          <w:i/>
          <w:iCs/>
          <w:sz w:val="22"/>
          <w:szCs w:val="22"/>
          <w:lang w:eastAsia="en-US"/>
        </w:rPr>
        <w:t>-</w:t>
      </w:r>
      <w:r w:rsidR="00EC3C63" w:rsidRPr="007F54B3">
        <w:rPr>
          <w:rFonts w:ascii="Aptos" w:hAnsi="Aptos"/>
          <w:bCs/>
          <w:i/>
          <w:iCs/>
          <w:sz w:val="22"/>
          <w:szCs w:val="22"/>
          <w:lang w:eastAsia="en-US"/>
        </w:rPr>
        <w:t xml:space="preserve">Vu le résultat de la Commission d’Appel d’Offres du </w:t>
      </w:r>
      <w:r w:rsidR="00804233">
        <w:rPr>
          <w:rFonts w:ascii="Aptos" w:hAnsi="Aptos"/>
          <w:bCs/>
          <w:i/>
          <w:iCs/>
          <w:sz w:val="22"/>
          <w:szCs w:val="22"/>
          <w:lang w:eastAsia="en-US"/>
        </w:rPr>
        <w:t>c</w:t>
      </w:r>
      <w:r w:rsidR="00EC3C63" w:rsidRPr="007F54B3">
        <w:rPr>
          <w:rFonts w:ascii="Aptos" w:hAnsi="Aptos"/>
          <w:bCs/>
          <w:i/>
          <w:iCs/>
          <w:sz w:val="22"/>
          <w:szCs w:val="22"/>
          <w:lang w:eastAsia="en-US"/>
        </w:rPr>
        <w:t xml:space="preserve">entre </w:t>
      </w:r>
      <w:r w:rsidR="00804233">
        <w:rPr>
          <w:rFonts w:ascii="Aptos" w:hAnsi="Aptos"/>
          <w:bCs/>
          <w:i/>
          <w:iCs/>
          <w:sz w:val="22"/>
          <w:szCs w:val="22"/>
          <w:lang w:eastAsia="en-US"/>
        </w:rPr>
        <w:t>d</w:t>
      </w:r>
      <w:r w:rsidR="00EC3C63" w:rsidRPr="007F54B3">
        <w:rPr>
          <w:rFonts w:ascii="Aptos" w:hAnsi="Aptos"/>
          <w:bCs/>
          <w:i/>
          <w:iCs/>
          <w:sz w:val="22"/>
          <w:szCs w:val="22"/>
          <w:lang w:eastAsia="en-US"/>
        </w:rPr>
        <w:t xml:space="preserve">e </w:t>
      </w:r>
      <w:r w:rsidR="00804233">
        <w:rPr>
          <w:rFonts w:ascii="Aptos" w:hAnsi="Aptos"/>
          <w:bCs/>
          <w:i/>
          <w:iCs/>
          <w:sz w:val="22"/>
          <w:szCs w:val="22"/>
          <w:lang w:eastAsia="en-US"/>
        </w:rPr>
        <w:t>g</w:t>
      </w:r>
      <w:r w:rsidR="00EC3C63" w:rsidRPr="007F54B3">
        <w:rPr>
          <w:rFonts w:ascii="Aptos" w:hAnsi="Aptos"/>
          <w:bCs/>
          <w:i/>
          <w:iCs/>
          <w:sz w:val="22"/>
          <w:szCs w:val="22"/>
          <w:lang w:eastAsia="en-US"/>
        </w:rPr>
        <w:t xml:space="preserve">estion de la </w:t>
      </w:r>
      <w:r w:rsidR="00804233">
        <w:rPr>
          <w:rFonts w:ascii="Aptos" w:hAnsi="Aptos"/>
          <w:bCs/>
          <w:i/>
          <w:iCs/>
          <w:sz w:val="22"/>
          <w:szCs w:val="22"/>
          <w:lang w:eastAsia="en-US"/>
        </w:rPr>
        <w:t>f</w:t>
      </w:r>
      <w:r w:rsidR="00EC3C63" w:rsidRPr="007F54B3">
        <w:rPr>
          <w:rFonts w:ascii="Aptos" w:hAnsi="Aptos"/>
          <w:bCs/>
          <w:i/>
          <w:iCs/>
          <w:sz w:val="22"/>
          <w:szCs w:val="22"/>
          <w:lang w:eastAsia="en-US"/>
        </w:rPr>
        <w:t xml:space="preserve">onction Publique </w:t>
      </w:r>
      <w:r w:rsidR="00804233">
        <w:rPr>
          <w:rFonts w:ascii="Aptos" w:hAnsi="Aptos"/>
          <w:bCs/>
          <w:i/>
          <w:iCs/>
          <w:sz w:val="22"/>
          <w:szCs w:val="22"/>
          <w:lang w:eastAsia="en-US"/>
        </w:rPr>
        <w:t>t</w:t>
      </w:r>
      <w:r w:rsidR="00EC3C63" w:rsidRPr="007F54B3">
        <w:rPr>
          <w:rFonts w:ascii="Aptos" w:hAnsi="Aptos"/>
          <w:bCs/>
          <w:i/>
          <w:iCs/>
          <w:sz w:val="22"/>
          <w:szCs w:val="22"/>
          <w:lang w:eastAsia="en-US"/>
        </w:rPr>
        <w:t xml:space="preserve">erritoriale </w:t>
      </w:r>
      <w:r w:rsidR="001F6CD4" w:rsidRPr="007F54B3">
        <w:rPr>
          <w:rFonts w:ascii="Aptos" w:hAnsi="Aptos"/>
          <w:bCs/>
          <w:i/>
          <w:iCs/>
          <w:sz w:val="22"/>
          <w:szCs w:val="22"/>
          <w:lang w:eastAsia="en-US"/>
        </w:rPr>
        <w:t>de l</w:t>
      </w:r>
      <w:r w:rsidR="002005A0">
        <w:rPr>
          <w:rFonts w:ascii="Aptos" w:hAnsi="Aptos"/>
          <w:bCs/>
          <w:i/>
          <w:iCs/>
          <w:sz w:val="22"/>
          <w:szCs w:val="22"/>
          <w:lang w:eastAsia="en-US"/>
        </w:rPr>
        <w:t>a Nièvre</w:t>
      </w:r>
      <w:r w:rsidR="00EC3C63" w:rsidRPr="007F54B3">
        <w:rPr>
          <w:rFonts w:ascii="Aptos" w:hAnsi="Aptos"/>
          <w:bCs/>
          <w:i/>
          <w:iCs/>
          <w:sz w:val="22"/>
          <w:szCs w:val="22"/>
          <w:lang w:eastAsia="en-US"/>
        </w:rPr>
        <w:t xml:space="preserve"> en date du </w:t>
      </w:r>
      <w:r w:rsidR="00BE1B18" w:rsidRPr="007F54B3">
        <w:rPr>
          <w:rFonts w:ascii="Aptos" w:hAnsi="Aptos"/>
          <w:bCs/>
          <w:i/>
          <w:iCs/>
          <w:sz w:val="22"/>
          <w:szCs w:val="22"/>
          <w:lang w:eastAsia="en-US"/>
        </w:rPr>
        <w:t>2</w:t>
      </w:r>
      <w:r w:rsidR="00C10D6C">
        <w:rPr>
          <w:rFonts w:ascii="Aptos" w:hAnsi="Aptos"/>
          <w:bCs/>
          <w:i/>
          <w:iCs/>
          <w:sz w:val="22"/>
          <w:szCs w:val="22"/>
          <w:lang w:eastAsia="en-US"/>
        </w:rPr>
        <w:t>9 septembre</w:t>
      </w:r>
      <w:r w:rsidR="00EC3C63" w:rsidRPr="007F54B3">
        <w:rPr>
          <w:rFonts w:ascii="Aptos" w:hAnsi="Aptos"/>
          <w:bCs/>
          <w:i/>
          <w:iCs/>
          <w:sz w:val="22"/>
          <w:szCs w:val="22"/>
          <w:lang w:eastAsia="en-US"/>
        </w:rPr>
        <w:t xml:space="preserve"> 202</w:t>
      </w:r>
      <w:r w:rsidR="00BE1B18" w:rsidRPr="007F54B3">
        <w:rPr>
          <w:rFonts w:ascii="Aptos" w:hAnsi="Aptos"/>
          <w:bCs/>
          <w:i/>
          <w:iCs/>
          <w:sz w:val="22"/>
          <w:szCs w:val="22"/>
          <w:lang w:eastAsia="en-US"/>
        </w:rPr>
        <w:t>5</w:t>
      </w:r>
      <w:r w:rsidR="00EC3C63" w:rsidRPr="007F54B3">
        <w:rPr>
          <w:rFonts w:ascii="Aptos" w:hAnsi="Aptos"/>
          <w:bCs/>
          <w:i/>
          <w:iCs/>
          <w:sz w:val="22"/>
          <w:szCs w:val="22"/>
          <w:lang w:eastAsia="en-US"/>
        </w:rPr>
        <w:t> ;</w:t>
      </w:r>
    </w:p>
    <w:p w14:paraId="385B9209" w14:textId="77777777" w:rsidR="00B47F81" w:rsidRPr="007F54B3" w:rsidRDefault="00B47F81" w:rsidP="00B47F81">
      <w:pPr>
        <w:rPr>
          <w:rFonts w:ascii="Aptos" w:eastAsia="Calibri" w:hAnsi="Aptos"/>
          <w:b/>
          <w:bCs/>
          <w:color w:val="000000"/>
          <w:sz w:val="22"/>
          <w:szCs w:val="22"/>
        </w:rPr>
      </w:pPr>
    </w:p>
    <w:p w14:paraId="543044B2" w14:textId="30AD05FC" w:rsidR="00B47F81" w:rsidRPr="009E0CB2" w:rsidRDefault="00B47F81" w:rsidP="009E0CB2">
      <w:pPr>
        <w:rPr>
          <w:rFonts w:ascii="Aptos" w:eastAsia="Calibri" w:hAnsi="Aptos"/>
          <w:b/>
          <w:bCs/>
          <w:color w:val="000000"/>
          <w:sz w:val="22"/>
          <w:szCs w:val="22"/>
        </w:rPr>
      </w:pPr>
      <w:r w:rsidRPr="007F54B3">
        <w:rPr>
          <w:rFonts w:ascii="Aptos" w:eastAsia="Calibri" w:hAnsi="Aptos"/>
          <w:b/>
          <w:bCs/>
          <w:color w:val="000000"/>
          <w:sz w:val="22"/>
          <w:szCs w:val="22"/>
        </w:rPr>
        <w:t>Décide</w:t>
      </w:r>
      <w:r w:rsidR="009E0CB2">
        <w:rPr>
          <w:rFonts w:ascii="Aptos" w:eastAsia="Calibri" w:hAnsi="Aptos"/>
          <w:b/>
          <w:bCs/>
          <w:color w:val="000000"/>
          <w:sz w:val="22"/>
          <w:szCs w:val="22"/>
        </w:rPr>
        <w:t> :</w:t>
      </w:r>
    </w:p>
    <w:p w14:paraId="3513D9ED" w14:textId="35CBDE6E" w:rsidR="00BA2095" w:rsidRDefault="00B47F81" w:rsidP="00BA2095">
      <w:pPr>
        <w:pStyle w:val="Paragraphedeliste"/>
        <w:widowControl w:val="0"/>
        <w:numPr>
          <w:ilvl w:val="0"/>
          <w:numId w:val="21"/>
        </w:numPr>
        <w:tabs>
          <w:tab w:val="left" w:pos="1110"/>
          <w:tab w:val="left" w:pos="9193"/>
        </w:tabs>
        <w:ind w:right="121"/>
        <w:jc w:val="both"/>
        <w:rPr>
          <w:rFonts w:ascii="Aptos" w:eastAsia="Calibri" w:hAnsi="Aptos"/>
          <w:b/>
          <w:bCs/>
          <w:color w:val="000000"/>
          <w:sz w:val="22"/>
          <w:szCs w:val="22"/>
          <w:u w:val="single"/>
        </w:rPr>
      </w:pPr>
      <w:r w:rsidRPr="007F54B3">
        <w:rPr>
          <w:rFonts w:ascii="Aptos" w:eastAsia="Calibri" w:hAnsi="Aptos"/>
          <w:b/>
          <w:bCs/>
          <w:color w:val="000000"/>
          <w:sz w:val="22"/>
          <w:szCs w:val="22"/>
          <w:u w:val="single"/>
        </w:rPr>
        <w:t>ARTICLE 1ER </w:t>
      </w:r>
      <w:r w:rsidR="00F31C29" w:rsidRPr="007F54B3">
        <w:rPr>
          <w:rFonts w:ascii="Aptos" w:eastAsia="Calibri" w:hAnsi="Aptos"/>
          <w:b/>
          <w:bCs/>
          <w:color w:val="000000"/>
          <w:sz w:val="22"/>
          <w:szCs w:val="22"/>
          <w:u w:val="single"/>
        </w:rPr>
        <w:t>- d’accepter la proposition suivante :</w:t>
      </w:r>
    </w:p>
    <w:p w14:paraId="4307C734" w14:textId="77777777" w:rsidR="00E06145" w:rsidRPr="009E0CB2" w:rsidRDefault="00E06145" w:rsidP="009E0CB2">
      <w:pPr>
        <w:widowControl w:val="0"/>
        <w:tabs>
          <w:tab w:val="left" w:pos="1110"/>
          <w:tab w:val="left" w:pos="9193"/>
        </w:tabs>
        <w:ind w:right="121"/>
        <w:jc w:val="both"/>
        <w:rPr>
          <w:rFonts w:ascii="Aptos" w:eastAsia="Calibri" w:hAnsi="Aptos"/>
          <w:b/>
          <w:bCs/>
          <w:color w:val="000000"/>
          <w:sz w:val="22"/>
          <w:szCs w:val="22"/>
          <w:u w:val="single"/>
        </w:rPr>
      </w:pPr>
    </w:p>
    <w:tbl>
      <w:tblPr>
        <w:tblStyle w:val="Grilledutableau"/>
        <w:tblW w:w="9680" w:type="dxa"/>
        <w:tblInd w:w="-5" w:type="dxa"/>
        <w:tblLook w:val="04A0" w:firstRow="1" w:lastRow="0" w:firstColumn="1" w:lastColumn="0" w:noHBand="0" w:noVBand="1"/>
      </w:tblPr>
      <w:tblGrid>
        <w:gridCol w:w="3476"/>
        <w:gridCol w:w="6204"/>
      </w:tblGrid>
      <w:tr w:rsidR="00BA2095" w:rsidRPr="00FB2680" w14:paraId="4D2A481C" w14:textId="77777777" w:rsidTr="00BA2095">
        <w:trPr>
          <w:trHeight w:val="235"/>
        </w:trPr>
        <w:tc>
          <w:tcPr>
            <w:tcW w:w="3476" w:type="dxa"/>
          </w:tcPr>
          <w:p w14:paraId="559C33C3" w14:textId="77777777" w:rsidR="00BA2095" w:rsidRPr="00FB2680" w:rsidRDefault="00BA2095" w:rsidP="00F0578D">
            <w:pPr>
              <w:widowControl w:val="0"/>
              <w:tabs>
                <w:tab w:val="left" w:pos="1110"/>
                <w:tab w:val="left" w:pos="9193"/>
              </w:tabs>
              <w:ind w:right="121"/>
              <w:jc w:val="right"/>
              <w:rPr>
                <w:rFonts w:ascii="Aptos" w:eastAsia="Calibri" w:hAnsi="Aptos"/>
                <w:color w:val="000000"/>
                <w:sz w:val="22"/>
                <w:szCs w:val="22"/>
              </w:rPr>
            </w:pPr>
            <w:r w:rsidRPr="00FB2680">
              <w:rPr>
                <w:rFonts w:ascii="Aptos" w:eastAsia="Calibri" w:hAnsi="Aptos"/>
                <w:color w:val="000000"/>
                <w:sz w:val="22"/>
                <w:szCs w:val="22"/>
              </w:rPr>
              <w:t xml:space="preserve">Candidat retenu : </w:t>
            </w:r>
          </w:p>
        </w:tc>
        <w:tc>
          <w:tcPr>
            <w:tcW w:w="6204" w:type="dxa"/>
            <w:shd w:val="clear" w:color="auto" w:fill="FFFFFF" w:themeFill="background1"/>
          </w:tcPr>
          <w:p w14:paraId="647A916F" w14:textId="3195E80A" w:rsidR="00BA2095" w:rsidRPr="00FB2680" w:rsidRDefault="00C10D6C" w:rsidP="00F0578D">
            <w:pPr>
              <w:widowControl w:val="0"/>
              <w:tabs>
                <w:tab w:val="left" w:pos="1110"/>
                <w:tab w:val="left" w:pos="9193"/>
              </w:tabs>
              <w:ind w:right="121"/>
              <w:jc w:val="both"/>
              <w:rPr>
                <w:rFonts w:ascii="Aptos" w:eastAsia="Calibri" w:hAnsi="Aptos"/>
                <w:b/>
                <w:bCs/>
                <w:color w:val="000000"/>
                <w:sz w:val="22"/>
                <w:szCs w:val="22"/>
                <w:highlight w:val="cyan"/>
              </w:rPr>
            </w:pPr>
            <w:r>
              <w:rPr>
                <w:rFonts w:ascii="Aptos" w:eastAsia="Calibri" w:hAnsi="Aptos"/>
                <w:b/>
                <w:bCs/>
                <w:color w:val="000000"/>
                <w:sz w:val="22"/>
                <w:szCs w:val="22"/>
              </w:rPr>
              <w:t>CNP (sous-traitant RELYENS)</w:t>
            </w:r>
          </w:p>
        </w:tc>
      </w:tr>
      <w:tr w:rsidR="00BA2095" w:rsidRPr="00FB2680" w14:paraId="7FE43D29" w14:textId="77777777" w:rsidTr="00BA2095">
        <w:trPr>
          <w:trHeight w:val="235"/>
        </w:trPr>
        <w:tc>
          <w:tcPr>
            <w:tcW w:w="3476" w:type="dxa"/>
          </w:tcPr>
          <w:p w14:paraId="6A1D2C84" w14:textId="77777777" w:rsidR="00BA2095" w:rsidRPr="00FB2680" w:rsidRDefault="00BA2095" w:rsidP="00F0578D">
            <w:pPr>
              <w:widowControl w:val="0"/>
              <w:tabs>
                <w:tab w:val="left" w:pos="1110"/>
                <w:tab w:val="left" w:pos="9193"/>
              </w:tabs>
              <w:ind w:right="121"/>
              <w:jc w:val="right"/>
              <w:rPr>
                <w:rFonts w:ascii="Aptos" w:eastAsia="Calibri" w:hAnsi="Aptos"/>
                <w:color w:val="000000"/>
                <w:sz w:val="22"/>
                <w:szCs w:val="22"/>
              </w:rPr>
            </w:pPr>
            <w:r w:rsidRPr="00FB2680">
              <w:rPr>
                <w:rFonts w:ascii="Aptos" w:eastAsia="Calibri" w:hAnsi="Aptos"/>
                <w:color w:val="000000"/>
                <w:sz w:val="22"/>
                <w:szCs w:val="22"/>
              </w:rPr>
              <w:t xml:space="preserve">Date d’effet du contrat : </w:t>
            </w:r>
          </w:p>
        </w:tc>
        <w:tc>
          <w:tcPr>
            <w:tcW w:w="6204" w:type="dxa"/>
          </w:tcPr>
          <w:p w14:paraId="7C41B5B1" w14:textId="77777777" w:rsidR="00BA2095" w:rsidRPr="00FB2680" w:rsidRDefault="00BA2095" w:rsidP="00F0578D">
            <w:pPr>
              <w:widowControl w:val="0"/>
              <w:tabs>
                <w:tab w:val="left" w:pos="1110"/>
                <w:tab w:val="left" w:pos="9193"/>
              </w:tabs>
              <w:ind w:right="121"/>
              <w:jc w:val="both"/>
              <w:rPr>
                <w:rFonts w:ascii="Aptos" w:eastAsia="Calibri" w:hAnsi="Aptos"/>
                <w:b/>
                <w:bCs/>
                <w:color w:val="000000"/>
                <w:sz w:val="22"/>
                <w:szCs w:val="22"/>
                <w:highlight w:val="cyan"/>
              </w:rPr>
            </w:pPr>
            <w:r w:rsidRPr="00FB2680">
              <w:rPr>
                <w:rFonts w:ascii="Aptos" w:eastAsia="Calibri" w:hAnsi="Aptos"/>
                <w:b/>
                <w:bCs/>
                <w:color w:val="000000"/>
                <w:sz w:val="22"/>
                <w:szCs w:val="22"/>
              </w:rPr>
              <w:t>01 janvier 2026</w:t>
            </w:r>
          </w:p>
        </w:tc>
      </w:tr>
      <w:tr w:rsidR="00BA2095" w:rsidRPr="00FB2680" w14:paraId="4FF876F9" w14:textId="77777777" w:rsidTr="00BA2095">
        <w:trPr>
          <w:trHeight w:val="235"/>
        </w:trPr>
        <w:tc>
          <w:tcPr>
            <w:tcW w:w="3476" w:type="dxa"/>
          </w:tcPr>
          <w:p w14:paraId="720B4374" w14:textId="77777777" w:rsidR="00BA2095" w:rsidRPr="00FB2680" w:rsidRDefault="00BA2095" w:rsidP="00F0578D">
            <w:pPr>
              <w:widowControl w:val="0"/>
              <w:tabs>
                <w:tab w:val="left" w:pos="1110"/>
                <w:tab w:val="left" w:pos="9193"/>
              </w:tabs>
              <w:ind w:right="121"/>
              <w:jc w:val="right"/>
              <w:rPr>
                <w:rFonts w:ascii="Aptos" w:eastAsia="Calibri" w:hAnsi="Aptos"/>
                <w:color w:val="000000"/>
                <w:sz w:val="22"/>
                <w:szCs w:val="22"/>
              </w:rPr>
            </w:pPr>
            <w:r w:rsidRPr="00FB2680">
              <w:rPr>
                <w:rFonts w:ascii="Aptos" w:eastAsia="Calibri" w:hAnsi="Aptos"/>
                <w:color w:val="000000"/>
                <w:sz w:val="22"/>
                <w:szCs w:val="22"/>
              </w:rPr>
              <w:t xml:space="preserve">Durée du contrat : </w:t>
            </w:r>
          </w:p>
        </w:tc>
        <w:tc>
          <w:tcPr>
            <w:tcW w:w="6204" w:type="dxa"/>
          </w:tcPr>
          <w:p w14:paraId="3527B932" w14:textId="4175886D" w:rsidR="00BA2095" w:rsidRPr="00FB2680" w:rsidRDefault="00C10D6C" w:rsidP="00F0578D">
            <w:pPr>
              <w:widowControl w:val="0"/>
              <w:tabs>
                <w:tab w:val="left" w:pos="1110"/>
                <w:tab w:val="left" w:pos="9193"/>
              </w:tabs>
              <w:ind w:right="121"/>
              <w:jc w:val="both"/>
              <w:rPr>
                <w:rFonts w:ascii="Aptos" w:eastAsia="Calibri" w:hAnsi="Aptos"/>
                <w:b/>
                <w:bCs/>
                <w:color w:val="000000"/>
                <w:sz w:val="22"/>
                <w:szCs w:val="22"/>
              </w:rPr>
            </w:pPr>
            <w:r>
              <w:rPr>
                <w:rFonts w:ascii="Aptos" w:eastAsia="Calibri" w:hAnsi="Aptos"/>
                <w:b/>
                <w:bCs/>
                <w:color w:val="000000"/>
                <w:sz w:val="22"/>
                <w:szCs w:val="22"/>
              </w:rPr>
              <w:t>5</w:t>
            </w:r>
            <w:r w:rsidR="00BA2095" w:rsidRPr="00FB2680">
              <w:rPr>
                <w:rFonts w:ascii="Aptos" w:eastAsia="Calibri" w:hAnsi="Aptos"/>
                <w:b/>
                <w:bCs/>
                <w:color w:val="000000"/>
                <w:sz w:val="22"/>
                <w:szCs w:val="22"/>
              </w:rPr>
              <w:t xml:space="preserve"> ans</w:t>
            </w:r>
          </w:p>
        </w:tc>
      </w:tr>
      <w:tr w:rsidR="00AB1830" w:rsidRPr="00FB2680" w14:paraId="23440BC9" w14:textId="77777777" w:rsidTr="00252071">
        <w:trPr>
          <w:trHeight w:val="235"/>
        </w:trPr>
        <w:tc>
          <w:tcPr>
            <w:tcW w:w="3476" w:type="dxa"/>
            <w:vAlign w:val="center"/>
          </w:tcPr>
          <w:p w14:paraId="333FD79D" w14:textId="469EF361" w:rsidR="00AB1830" w:rsidRPr="00FB2680" w:rsidRDefault="00AB1830" w:rsidP="00AB1830">
            <w:pPr>
              <w:widowControl w:val="0"/>
              <w:tabs>
                <w:tab w:val="left" w:pos="1110"/>
                <w:tab w:val="left" w:pos="9193"/>
              </w:tabs>
              <w:ind w:right="121"/>
              <w:jc w:val="right"/>
              <w:rPr>
                <w:rFonts w:ascii="Aptos" w:eastAsia="Calibri" w:hAnsi="Aptos"/>
                <w:color w:val="000000"/>
                <w:sz w:val="22"/>
                <w:szCs w:val="22"/>
              </w:rPr>
            </w:pPr>
            <w:r w:rsidRPr="00AB1830">
              <w:rPr>
                <w:rFonts w:ascii="Aptos" w:eastAsia="Calibri" w:hAnsi="Aptos"/>
                <w:color w:val="000000"/>
                <w:sz w:val="22"/>
                <w:szCs w:val="22"/>
              </w:rPr>
              <w:t>Conditions :</w:t>
            </w:r>
          </w:p>
        </w:tc>
        <w:tc>
          <w:tcPr>
            <w:tcW w:w="6204" w:type="dxa"/>
            <w:vAlign w:val="center"/>
          </w:tcPr>
          <w:p w14:paraId="333F6CF7" w14:textId="5AEBB4CA" w:rsidR="00AB1830" w:rsidRDefault="00AB1830" w:rsidP="00AB1830">
            <w:pPr>
              <w:widowControl w:val="0"/>
              <w:tabs>
                <w:tab w:val="left" w:pos="1110"/>
                <w:tab w:val="left" w:pos="9193"/>
              </w:tabs>
              <w:ind w:right="121"/>
              <w:jc w:val="both"/>
              <w:rPr>
                <w:rFonts w:ascii="Aptos" w:eastAsia="Calibri" w:hAnsi="Aptos"/>
                <w:b/>
                <w:bCs/>
                <w:color w:val="000000"/>
                <w:sz w:val="22"/>
                <w:szCs w:val="22"/>
              </w:rPr>
            </w:pPr>
            <w:r w:rsidRPr="007F54B3">
              <w:rPr>
                <w:rFonts w:ascii="Aptos" w:hAnsi="Aptos"/>
                <w:bCs/>
                <w:sz w:val="22"/>
                <w:szCs w:val="22"/>
                <w:lang w:eastAsia="en-US"/>
              </w:rPr>
              <w:t>Garanties indemnités journalières (IJ) 100%</w:t>
            </w:r>
          </w:p>
        </w:tc>
      </w:tr>
    </w:tbl>
    <w:p w14:paraId="1961BD7C" w14:textId="77777777" w:rsidR="00B804A5" w:rsidRPr="009E0CB2" w:rsidRDefault="00B804A5" w:rsidP="00F31C29">
      <w:pPr>
        <w:widowControl w:val="0"/>
        <w:tabs>
          <w:tab w:val="left" w:pos="1110"/>
          <w:tab w:val="left" w:pos="9193"/>
        </w:tabs>
        <w:ind w:right="121"/>
        <w:jc w:val="both"/>
        <w:rPr>
          <w:rFonts w:ascii="Aptos" w:eastAsia="Calibri" w:hAnsi="Aptos"/>
          <w:b/>
          <w:bCs/>
          <w:color w:val="000000"/>
          <w:sz w:val="16"/>
          <w:szCs w:val="16"/>
        </w:rPr>
      </w:pPr>
    </w:p>
    <w:p w14:paraId="3CF31E19" w14:textId="4F7B4109" w:rsidR="00515646" w:rsidRPr="00FB2680" w:rsidRDefault="00515646" w:rsidP="00F31C29">
      <w:pPr>
        <w:widowControl w:val="0"/>
        <w:tabs>
          <w:tab w:val="left" w:pos="1110"/>
          <w:tab w:val="left" w:pos="9193"/>
        </w:tabs>
        <w:ind w:right="121"/>
        <w:jc w:val="both"/>
        <w:rPr>
          <w:rFonts w:ascii="Aptos" w:eastAsia="Calibri" w:hAnsi="Aptos"/>
          <w:b/>
          <w:bCs/>
          <w:color w:val="000000"/>
          <w:sz w:val="22"/>
          <w:szCs w:val="22"/>
        </w:rPr>
      </w:pPr>
      <w:r w:rsidRPr="00FB2680">
        <w:rPr>
          <w:rFonts w:ascii="Aptos" w:eastAsia="Calibri" w:hAnsi="Aptos"/>
          <w:b/>
          <w:bCs/>
          <w:color w:val="000000"/>
          <w:sz w:val="22"/>
          <w:szCs w:val="22"/>
          <w:highlight w:val="cyan"/>
        </w:rPr>
        <w:t>Option n° 1 :</w:t>
      </w:r>
      <w:r w:rsidRPr="00FB2680">
        <w:rPr>
          <w:rFonts w:ascii="Aptos" w:eastAsia="Calibri" w:hAnsi="Aptos"/>
          <w:b/>
          <w:bCs/>
          <w:color w:val="000000"/>
          <w:sz w:val="22"/>
          <w:szCs w:val="22"/>
        </w:rPr>
        <w:t xml:space="preserve"> </w:t>
      </w:r>
    </w:p>
    <w:p w14:paraId="6FD69C1E" w14:textId="77777777" w:rsidR="00515646" w:rsidRPr="009E0CB2" w:rsidRDefault="00515646" w:rsidP="00F31C29">
      <w:pPr>
        <w:widowControl w:val="0"/>
        <w:tabs>
          <w:tab w:val="left" w:pos="1110"/>
          <w:tab w:val="left" w:pos="9193"/>
        </w:tabs>
        <w:ind w:right="121"/>
        <w:jc w:val="both"/>
        <w:rPr>
          <w:rFonts w:ascii="Aptos" w:eastAsia="Calibri" w:hAnsi="Aptos"/>
          <w:b/>
          <w:bCs/>
          <w:color w:val="000000"/>
          <w:sz w:val="16"/>
          <w:szCs w:val="16"/>
        </w:rPr>
      </w:pPr>
    </w:p>
    <w:tbl>
      <w:tblPr>
        <w:tblW w:w="9699" w:type="dxa"/>
        <w:tblInd w:w="-5" w:type="dxa"/>
        <w:tblLayout w:type="fixed"/>
        <w:tblCellMar>
          <w:top w:w="55" w:type="dxa"/>
          <w:left w:w="55" w:type="dxa"/>
          <w:bottom w:w="55" w:type="dxa"/>
          <w:right w:w="55" w:type="dxa"/>
        </w:tblCellMar>
        <w:tblLook w:val="0000" w:firstRow="0" w:lastRow="0" w:firstColumn="0" w:lastColumn="0" w:noHBand="0" w:noVBand="0"/>
      </w:tblPr>
      <w:tblGrid>
        <w:gridCol w:w="5589"/>
        <w:gridCol w:w="2491"/>
        <w:gridCol w:w="1619"/>
      </w:tblGrid>
      <w:tr w:rsidR="00F549EF" w:rsidRPr="00FB2680" w14:paraId="0EC841EA" w14:textId="77777777" w:rsidTr="00F0578D">
        <w:tc>
          <w:tcPr>
            <w:tcW w:w="9699"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36903EC" w14:textId="77777777" w:rsidR="00F549EF" w:rsidRPr="00FB2680" w:rsidRDefault="00F549EF" w:rsidP="00F0578D">
            <w:pPr>
              <w:pStyle w:val="NormalRiskpart"/>
              <w:snapToGrid w:val="0"/>
              <w:jc w:val="center"/>
              <w:rPr>
                <w:rFonts w:ascii="Aptos" w:hAnsi="Aptos" w:cstheme="minorHAnsi"/>
                <w:b/>
                <w:bCs/>
                <w:sz w:val="22"/>
                <w:szCs w:val="22"/>
              </w:rPr>
            </w:pPr>
            <w:r w:rsidRPr="00FB2680">
              <w:rPr>
                <w:rFonts w:ascii="Aptos" w:hAnsi="Aptos" w:cstheme="minorHAnsi"/>
                <w:b/>
                <w:bCs/>
                <w:sz w:val="22"/>
                <w:szCs w:val="22"/>
              </w:rPr>
              <w:t xml:space="preserve">Garanties pour les agents affiliés à la CNRACL </w:t>
            </w:r>
          </w:p>
        </w:tc>
      </w:tr>
      <w:tr w:rsidR="00F549EF" w:rsidRPr="00FB2680" w14:paraId="4D2B6C59" w14:textId="77777777" w:rsidTr="00F0578D">
        <w:tc>
          <w:tcPr>
            <w:tcW w:w="5589" w:type="dxa"/>
            <w:tcBorders>
              <w:top w:val="single" w:sz="4" w:space="0" w:color="auto"/>
              <w:left w:val="single" w:sz="4" w:space="0" w:color="000000"/>
              <w:bottom w:val="single" w:sz="4" w:space="0" w:color="000000"/>
            </w:tcBorders>
            <w:vAlign w:val="center"/>
          </w:tcPr>
          <w:p w14:paraId="339564EE" w14:textId="77777777" w:rsidR="00F549EF" w:rsidRPr="00ED342E" w:rsidRDefault="00F549EF" w:rsidP="00F0578D">
            <w:pPr>
              <w:pStyle w:val="NormalRiskpart"/>
              <w:snapToGrid w:val="0"/>
              <w:jc w:val="center"/>
              <w:rPr>
                <w:rFonts w:asciiTheme="minorHAnsi" w:hAnsiTheme="minorHAnsi" w:cstheme="minorHAnsi"/>
                <w:b/>
                <w:bCs/>
                <w:sz w:val="22"/>
                <w:szCs w:val="22"/>
              </w:rPr>
            </w:pPr>
            <w:r w:rsidRPr="00ED342E">
              <w:rPr>
                <w:rFonts w:asciiTheme="minorHAnsi" w:hAnsiTheme="minorHAnsi" w:cstheme="minorHAnsi"/>
                <w:b/>
                <w:bCs/>
                <w:sz w:val="22"/>
                <w:szCs w:val="22"/>
              </w:rPr>
              <w:t>Désignation des risques</w:t>
            </w:r>
          </w:p>
        </w:tc>
        <w:tc>
          <w:tcPr>
            <w:tcW w:w="2491" w:type="dxa"/>
            <w:tcBorders>
              <w:top w:val="single" w:sz="4" w:space="0" w:color="auto"/>
              <w:left w:val="single" w:sz="4" w:space="0" w:color="000000"/>
              <w:bottom w:val="single" w:sz="4" w:space="0" w:color="000000"/>
              <w:right w:val="single" w:sz="4" w:space="0" w:color="auto"/>
            </w:tcBorders>
            <w:vAlign w:val="center"/>
          </w:tcPr>
          <w:p w14:paraId="054DDDC6" w14:textId="77777777" w:rsidR="00F549EF" w:rsidRPr="00FB2680" w:rsidRDefault="00F549EF" w:rsidP="00F0578D">
            <w:pPr>
              <w:pStyle w:val="NormalRiskpart"/>
              <w:snapToGrid w:val="0"/>
              <w:jc w:val="center"/>
              <w:rPr>
                <w:rFonts w:ascii="Aptos" w:hAnsi="Aptos" w:cstheme="minorHAnsi"/>
                <w:b/>
                <w:bCs/>
                <w:sz w:val="22"/>
                <w:szCs w:val="22"/>
              </w:rPr>
            </w:pPr>
            <w:r w:rsidRPr="00FB2680">
              <w:rPr>
                <w:rFonts w:ascii="Aptos" w:hAnsi="Aptos" w:cstheme="minorHAnsi"/>
                <w:b/>
                <w:bCs/>
                <w:sz w:val="22"/>
                <w:szCs w:val="22"/>
              </w:rPr>
              <w:t>Formule de franchise par arrêt*</w:t>
            </w:r>
          </w:p>
        </w:tc>
        <w:tc>
          <w:tcPr>
            <w:tcW w:w="1619" w:type="dxa"/>
            <w:tcBorders>
              <w:top w:val="single" w:sz="4" w:space="0" w:color="auto"/>
              <w:left w:val="single" w:sz="4" w:space="0" w:color="auto"/>
              <w:bottom w:val="single" w:sz="4" w:space="0" w:color="auto"/>
              <w:right w:val="single" w:sz="4" w:space="0" w:color="auto"/>
            </w:tcBorders>
          </w:tcPr>
          <w:p w14:paraId="1741AA35" w14:textId="77777777" w:rsidR="00F549EF" w:rsidRPr="00FB2680" w:rsidRDefault="00F549EF" w:rsidP="00F0578D">
            <w:pPr>
              <w:pStyle w:val="NormalRiskpart"/>
              <w:snapToGrid w:val="0"/>
              <w:jc w:val="center"/>
              <w:rPr>
                <w:rFonts w:ascii="Aptos" w:hAnsi="Aptos" w:cstheme="minorHAnsi"/>
                <w:b/>
                <w:bCs/>
                <w:sz w:val="22"/>
                <w:szCs w:val="22"/>
              </w:rPr>
            </w:pPr>
            <w:r w:rsidRPr="00FB2680">
              <w:rPr>
                <w:rFonts w:ascii="Aptos" w:hAnsi="Aptos" w:cstheme="minorHAnsi"/>
                <w:b/>
                <w:bCs/>
                <w:sz w:val="22"/>
                <w:szCs w:val="22"/>
              </w:rPr>
              <w:t>Taux</w:t>
            </w:r>
          </w:p>
        </w:tc>
      </w:tr>
      <w:tr w:rsidR="00F549EF" w:rsidRPr="00FB2680" w14:paraId="4517830A" w14:textId="77777777" w:rsidTr="00DF2921">
        <w:tc>
          <w:tcPr>
            <w:tcW w:w="5589" w:type="dxa"/>
            <w:tcBorders>
              <w:left w:val="single" w:sz="4" w:space="0" w:color="000000"/>
              <w:bottom w:val="single" w:sz="4" w:space="0" w:color="auto"/>
            </w:tcBorders>
            <w:vAlign w:val="center"/>
          </w:tcPr>
          <w:p w14:paraId="15E87BE9" w14:textId="77777777" w:rsidR="00F549EF" w:rsidRPr="00ED342E" w:rsidRDefault="00F549EF" w:rsidP="00F0578D">
            <w:pPr>
              <w:pStyle w:val="NormalRiskpart"/>
              <w:snapToGrid w:val="0"/>
              <w:jc w:val="left"/>
              <w:rPr>
                <w:rFonts w:asciiTheme="minorHAnsi" w:hAnsiTheme="minorHAnsi" w:cstheme="minorHAnsi"/>
                <w:sz w:val="22"/>
                <w:szCs w:val="22"/>
              </w:rPr>
            </w:pPr>
            <w:r w:rsidRPr="00ED342E">
              <w:rPr>
                <w:rFonts w:asciiTheme="minorHAnsi" w:hAnsiTheme="minorHAnsi" w:cstheme="minorHAnsi"/>
                <w:sz w:val="22"/>
                <w:szCs w:val="22"/>
              </w:rPr>
              <w:t>Décès</w:t>
            </w:r>
          </w:p>
        </w:tc>
        <w:tc>
          <w:tcPr>
            <w:tcW w:w="2491" w:type="dxa"/>
            <w:tcBorders>
              <w:left w:val="single" w:sz="4" w:space="0" w:color="000000"/>
              <w:bottom w:val="single" w:sz="4" w:space="0" w:color="000000"/>
              <w:right w:val="single" w:sz="4" w:space="0" w:color="auto"/>
            </w:tcBorders>
            <w:vAlign w:val="center"/>
          </w:tcPr>
          <w:p w14:paraId="12E64A80" w14:textId="77777777" w:rsidR="00F549EF" w:rsidRPr="00FB2680" w:rsidRDefault="00F549EF" w:rsidP="00F0578D">
            <w:pPr>
              <w:pStyle w:val="NormalRiskpart"/>
              <w:snapToGrid w:val="0"/>
              <w:jc w:val="center"/>
              <w:rPr>
                <w:rFonts w:ascii="Aptos" w:hAnsi="Aptos" w:cstheme="minorHAnsi"/>
                <w:b/>
                <w:bCs/>
                <w:color w:val="FF3333"/>
                <w:sz w:val="22"/>
                <w:szCs w:val="22"/>
              </w:rPr>
            </w:pPr>
            <w:r w:rsidRPr="00FB2680">
              <w:rPr>
                <w:rFonts w:ascii="Aptos" w:hAnsi="Aptos" w:cstheme="minorHAnsi"/>
                <w:sz w:val="22"/>
                <w:szCs w:val="22"/>
              </w:rPr>
              <w:t>Sans franchise</w:t>
            </w:r>
          </w:p>
        </w:tc>
        <w:tc>
          <w:tcPr>
            <w:tcW w:w="1619" w:type="dxa"/>
            <w:vMerge w:val="restart"/>
            <w:tcBorders>
              <w:top w:val="single" w:sz="4" w:space="0" w:color="auto"/>
              <w:left w:val="single" w:sz="4" w:space="0" w:color="auto"/>
              <w:right w:val="single" w:sz="4" w:space="0" w:color="auto"/>
            </w:tcBorders>
            <w:vAlign w:val="center"/>
          </w:tcPr>
          <w:p w14:paraId="27C4D476" w14:textId="5BCD51AC" w:rsidR="00F549EF" w:rsidRPr="00912729" w:rsidRDefault="006A4DFC" w:rsidP="00DF2921">
            <w:pPr>
              <w:pStyle w:val="NormalRiskpart"/>
              <w:snapToGrid w:val="0"/>
              <w:jc w:val="center"/>
              <w:rPr>
                <w:rFonts w:ascii="Aptos" w:hAnsi="Aptos" w:cstheme="minorHAnsi"/>
                <w:b/>
                <w:bCs/>
                <w:sz w:val="22"/>
                <w:szCs w:val="22"/>
              </w:rPr>
            </w:pPr>
            <w:r>
              <w:rPr>
                <w:rFonts w:ascii="Aptos" w:hAnsi="Aptos" w:cstheme="minorHAnsi"/>
                <w:b/>
                <w:bCs/>
                <w:sz w:val="22"/>
                <w:szCs w:val="22"/>
              </w:rPr>
              <w:t>6</w:t>
            </w:r>
            <w:r w:rsidR="00DF2921">
              <w:rPr>
                <w:rFonts w:ascii="Aptos" w:hAnsi="Aptos" w:cstheme="minorHAnsi"/>
                <w:b/>
                <w:bCs/>
                <w:sz w:val="22"/>
                <w:szCs w:val="22"/>
              </w:rPr>
              <w:t>.</w:t>
            </w:r>
            <w:r>
              <w:rPr>
                <w:rFonts w:ascii="Aptos" w:hAnsi="Aptos" w:cstheme="minorHAnsi"/>
                <w:b/>
                <w:bCs/>
                <w:sz w:val="22"/>
                <w:szCs w:val="22"/>
              </w:rPr>
              <w:t>95</w:t>
            </w:r>
            <w:r w:rsidR="00DF2921">
              <w:rPr>
                <w:rFonts w:ascii="Aptos" w:hAnsi="Aptos" w:cstheme="minorHAnsi"/>
                <w:b/>
                <w:bCs/>
                <w:sz w:val="22"/>
                <w:szCs w:val="22"/>
              </w:rPr>
              <w:t xml:space="preserve"> %</w:t>
            </w:r>
          </w:p>
        </w:tc>
      </w:tr>
      <w:tr w:rsidR="00F549EF" w:rsidRPr="00FB2680" w14:paraId="143E7ADF" w14:textId="77777777" w:rsidTr="00F0578D">
        <w:tc>
          <w:tcPr>
            <w:tcW w:w="5589" w:type="dxa"/>
            <w:tcBorders>
              <w:top w:val="single" w:sz="4" w:space="0" w:color="auto"/>
              <w:left w:val="single" w:sz="4" w:space="0" w:color="auto"/>
              <w:bottom w:val="single" w:sz="4" w:space="0" w:color="auto"/>
              <w:right w:val="single" w:sz="4" w:space="0" w:color="auto"/>
            </w:tcBorders>
            <w:vAlign w:val="center"/>
          </w:tcPr>
          <w:p w14:paraId="320AFE1C" w14:textId="77777777" w:rsidR="00F549EF" w:rsidRPr="00ED342E" w:rsidRDefault="00F549EF" w:rsidP="00F0578D">
            <w:pPr>
              <w:pStyle w:val="Contenudetableau"/>
              <w:snapToGrid w:val="0"/>
              <w:jc w:val="both"/>
              <w:rPr>
                <w:rFonts w:asciiTheme="minorHAnsi" w:eastAsia="Batang" w:hAnsiTheme="minorHAnsi" w:cstheme="minorHAnsi"/>
                <w:sz w:val="22"/>
                <w:szCs w:val="22"/>
              </w:rPr>
            </w:pPr>
            <w:r>
              <w:rPr>
                <w:rFonts w:asciiTheme="minorHAnsi" w:eastAsia="Batang" w:hAnsiTheme="minorHAnsi" w:cstheme="minorHAnsi"/>
                <w:sz w:val="22"/>
                <w:szCs w:val="22"/>
              </w:rPr>
              <w:t>CITIS (Congé pour Invalidité Temporaire Imputable au Service)</w:t>
            </w:r>
          </w:p>
        </w:tc>
        <w:tc>
          <w:tcPr>
            <w:tcW w:w="2491" w:type="dxa"/>
            <w:tcBorders>
              <w:left w:val="single" w:sz="4" w:space="0" w:color="auto"/>
              <w:bottom w:val="single" w:sz="4" w:space="0" w:color="000000"/>
              <w:right w:val="single" w:sz="4" w:space="0" w:color="auto"/>
            </w:tcBorders>
            <w:vAlign w:val="center"/>
          </w:tcPr>
          <w:p w14:paraId="6AC34C17" w14:textId="77777777" w:rsidR="00F549EF" w:rsidRPr="00FB2680" w:rsidRDefault="00F549EF" w:rsidP="00F0578D">
            <w:pPr>
              <w:pStyle w:val="NormalRiskpart"/>
              <w:snapToGrid w:val="0"/>
              <w:jc w:val="center"/>
              <w:rPr>
                <w:rFonts w:ascii="Aptos" w:hAnsi="Aptos" w:cstheme="minorHAnsi"/>
                <w:sz w:val="22"/>
                <w:szCs w:val="22"/>
              </w:rPr>
            </w:pPr>
            <w:r w:rsidRPr="00FB2680">
              <w:rPr>
                <w:rFonts w:ascii="Aptos" w:hAnsi="Aptos" w:cstheme="minorHAnsi"/>
                <w:sz w:val="22"/>
                <w:szCs w:val="22"/>
              </w:rPr>
              <w:t>Sans franchise</w:t>
            </w:r>
          </w:p>
        </w:tc>
        <w:tc>
          <w:tcPr>
            <w:tcW w:w="1619" w:type="dxa"/>
            <w:vMerge/>
            <w:tcBorders>
              <w:left w:val="single" w:sz="4" w:space="0" w:color="auto"/>
              <w:right w:val="single" w:sz="4" w:space="0" w:color="auto"/>
            </w:tcBorders>
          </w:tcPr>
          <w:p w14:paraId="614AF8FA" w14:textId="77777777" w:rsidR="00F549EF" w:rsidRPr="00FB2680" w:rsidRDefault="00F549EF" w:rsidP="00F0578D">
            <w:pPr>
              <w:pStyle w:val="NormalRiskpart"/>
              <w:snapToGrid w:val="0"/>
              <w:jc w:val="center"/>
              <w:rPr>
                <w:rFonts w:ascii="Aptos" w:hAnsi="Aptos" w:cstheme="minorHAnsi"/>
                <w:sz w:val="22"/>
                <w:szCs w:val="22"/>
              </w:rPr>
            </w:pPr>
          </w:p>
        </w:tc>
      </w:tr>
      <w:tr w:rsidR="00F549EF" w:rsidRPr="00FB2680" w14:paraId="4FB02E56" w14:textId="77777777" w:rsidTr="00F0578D">
        <w:tc>
          <w:tcPr>
            <w:tcW w:w="5589" w:type="dxa"/>
            <w:tcBorders>
              <w:top w:val="single" w:sz="4" w:space="0" w:color="auto"/>
              <w:left w:val="single" w:sz="4" w:space="0" w:color="auto"/>
              <w:bottom w:val="single" w:sz="4" w:space="0" w:color="auto"/>
              <w:right w:val="single" w:sz="4" w:space="0" w:color="auto"/>
            </w:tcBorders>
            <w:vAlign w:val="center"/>
          </w:tcPr>
          <w:p w14:paraId="3BFC6DA4" w14:textId="77777777" w:rsidR="00F549EF" w:rsidRPr="00ED342E" w:rsidRDefault="00F549EF" w:rsidP="00F0578D">
            <w:pPr>
              <w:pStyle w:val="NormalRiskpart"/>
              <w:snapToGrid w:val="0"/>
              <w:jc w:val="left"/>
              <w:rPr>
                <w:rFonts w:asciiTheme="minorHAnsi" w:hAnsiTheme="minorHAnsi" w:cstheme="minorHAnsi"/>
                <w:sz w:val="22"/>
                <w:szCs w:val="22"/>
              </w:rPr>
            </w:pPr>
            <w:r w:rsidRPr="00ED342E">
              <w:rPr>
                <w:rFonts w:asciiTheme="minorHAnsi" w:hAnsiTheme="minorHAnsi" w:cstheme="minorHAnsi"/>
                <w:sz w:val="22"/>
                <w:szCs w:val="22"/>
              </w:rPr>
              <w:t>Longue maladie, maladie longue durée</w:t>
            </w:r>
          </w:p>
        </w:tc>
        <w:tc>
          <w:tcPr>
            <w:tcW w:w="2491" w:type="dxa"/>
            <w:tcBorders>
              <w:left w:val="single" w:sz="4" w:space="0" w:color="auto"/>
              <w:bottom w:val="single" w:sz="4" w:space="0" w:color="000000"/>
              <w:right w:val="single" w:sz="4" w:space="0" w:color="auto"/>
            </w:tcBorders>
            <w:vAlign w:val="center"/>
          </w:tcPr>
          <w:p w14:paraId="5E0701FF" w14:textId="77777777" w:rsidR="00F549EF" w:rsidRPr="00FB2680" w:rsidRDefault="00F549EF" w:rsidP="00F0578D">
            <w:pPr>
              <w:pStyle w:val="NormalRiskpart"/>
              <w:snapToGrid w:val="0"/>
              <w:jc w:val="center"/>
              <w:rPr>
                <w:rFonts w:ascii="Aptos" w:hAnsi="Aptos" w:cstheme="minorHAnsi"/>
                <w:sz w:val="22"/>
                <w:szCs w:val="22"/>
              </w:rPr>
            </w:pPr>
            <w:r w:rsidRPr="00FB2680">
              <w:rPr>
                <w:rFonts w:ascii="Aptos" w:hAnsi="Aptos" w:cstheme="minorHAnsi"/>
                <w:sz w:val="22"/>
                <w:szCs w:val="22"/>
              </w:rPr>
              <w:t>Sans franchise*</w:t>
            </w:r>
          </w:p>
        </w:tc>
        <w:tc>
          <w:tcPr>
            <w:tcW w:w="1619" w:type="dxa"/>
            <w:vMerge/>
            <w:tcBorders>
              <w:left w:val="single" w:sz="4" w:space="0" w:color="auto"/>
              <w:right w:val="single" w:sz="4" w:space="0" w:color="auto"/>
            </w:tcBorders>
          </w:tcPr>
          <w:p w14:paraId="4DE4702C" w14:textId="77777777" w:rsidR="00F549EF" w:rsidRPr="00FB2680" w:rsidRDefault="00F549EF" w:rsidP="00F0578D">
            <w:pPr>
              <w:pStyle w:val="Contenudetableau"/>
              <w:snapToGrid w:val="0"/>
              <w:jc w:val="center"/>
              <w:rPr>
                <w:rFonts w:ascii="Aptos" w:hAnsi="Aptos" w:cstheme="minorHAnsi"/>
                <w:sz w:val="22"/>
                <w:szCs w:val="22"/>
              </w:rPr>
            </w:pPr>
          </w:p>
        </w:tc>
      </w:tr>
      <w:tr w:rsidR="00F549EF" w:rsidRPr="00FB2680" w14:paraId="4B884F95" w14:textId="77777777" w:rsidTr="00F0578D">
        <w:tc>
          <w:tcPr>
            <w:tcW w:w="5589" w:type="dxa"/>
            <w:tcBorders>
              <w:top w:val="single" w:sz="4" w:space="0" w:color="auto"/>
              <w:left w:val="single" w:sz="4" w:space="0" w:color="000000"/>
              <w:bottom w:val="single" w:sz="4" w:space="0" w:color="000000"/>
            </w:tcBorders>
            <w:vAlign w:val="center"/>
          </w:tcPr>
          <w:p w14:paraId="34EE77BA" w14:textId="77777777" w:rsidR="00F549EF" w:rsidRPr="00ED342E" w:rsidRDefault="00F549EF" w:rsidP="00F0578D">
            <w:pPr>
              <w:pStyle w:val="NormalRiskpart"/>
              <w:snapToGrid w:val="0"/>
              <w:jc w:val="left"/>
              <w:rPr>
                <w:rFonts w:asciiTheme="minorHAnsi" w:hAnsiTheme="minorHAnsi" w:cstheme="minorHAnsi"/>
                <w:sz w:val="22"/>
                <w:szCs w:val="22"/>
              </w:rPr>
            </w:pPr>
            <w:r w:rsidRPr="00ED342E">
              <w:rPr>
                <w:rFonts w:asciiTheme="minorHAnsi" w:hAnsiTheme="minorHAnsi" w:cstheme="minorHAnsi"/>
                <w:sz w:val="22"/>
                <w:szCs w:val="22"/>
              </w:rPr>
              <w:t>Temps partiel thérapeutique, mise en disponibilité d'office pour maladie, infirmité de guerre, allocation d’invalidité temporaire</w:t>
            </w:r>
          </w:p>
        </w:tc>
        <w:tc>
          <w:tcPr>
            <w:tcW w:w="2491" w:type="dxa"/>
            <w:tcBorders>
              <w:left w:val="single" w:sz="4" w:space="0" w:color="000000"/>
              <w:bottom w:val="single" w:sz="4" w:space="0" w:color="000000"/>
              <w:right w:val="single" w:sz="4" w:space="0" w:color="auto"/>
            </w:tcBorders>
            <w:vAlign w:val="center"/>
          </w:tcPr>
          <w:p w14:paraId="3B73F648" w14:textId="77777777" w:rsidR="00F549EF" w:rsidRPr="00FB2680" w:rsidRDefault="00F549EF" w:rsidP="00F0578D">
            <w:pPr>
              <w:pStyle w:val="Contenudetableau"/>
              <w:snapToGrid w:val="0"/>
              <w:jc w:val="center"/>
              <w:rPr>
                <w:rFonts w:ascii="Aptos" w:hAnsi="Aptos" w:cstheme="minorHAnsi"/>
                <w:sz w:val="22"/>
                <w:szCs w:val="22"/>
              </w:rPr>
            </w:pPr>
            <w:r w:rsidRPr="00FB2680">
              <w:rPr>
                <w:rFonts w:ascii="Aptos" w:hAnsi="Aptos" w:cstheme="minorHAnsi"/>
                <w:sz w:val="22"/>
                <w:szCs w:val="22"/>
              </w:rPr>
              <w:t>Inclus dans les taux</w:t>
            </w:r>
          </w:p>
        </w:tc>
        <w:tc>
          <w:tcPr>
            <w:tcW w:w="1619" w:type="dxa"/>
            <w:vMerge/>
            <w:tcBorders>
              <w:left w:val="single" w:sz="4" w:space="0" w:color="auto"/>
              <w:right w:val="single" w:sz="4" w:space="0" w:color="auto"/>
            </w:tcBorders>
          </w:tcPr>
          <w:p w14:paraId="6ABC0E95" w14:textId="77777777" w:rsidR="00F549EF" w:rsidRPr="00FB2680" w:rsidRDefault="00F549EF" w:rsidP="00F0578D">
            <w:pPr>
              <w:pStyle w:val="Contenudetableau"/>
              <w:snapToGrid w:val="0"/>
              <w:jc w:val="center"/>
              <w:rPr>
                <w:rFonts w:ascii="Aptos" w:hAnsi="Aptos" w:cstheme="minorHAnsi"/>
                <w:sz w:val="22"/>
                <w:szCs w:val="22"/>
              </w:rPr>
            </w:pPr>
          </w:p>
        </w:tc>
      </w:tr>
      <w:tr w:rsidR="00F549EF" w:rsidRPr="00FB2680" w14:paraId="5C4EFA5C" w14:textId="77777777" w:rsidTr="00F0578D">
        <w:tc>
          <w:tcPr>
            <w:tcW w:w="5589" w:type="dxa"/>
            <w:tcBorders>
              <w:left w:val="single" w:sz="4" w:space="0" w:color="000000"/>
              <w:bottom w:val="single" w:sz="4" w:space="0" w:color="auto"/>
            </w:tcBorders>
            <w:vAlign w:val="center"/>
          </w:tcPr>
          <w:p w14:paraId="4761DEB8" w14:textId="77777777" w:rsidR="00F549EF" w:rsidRPr="00ED342E" w:rsidRDefault="00F549EF" w:rsidP="00F0578D">
            <w:pPr>
              <w:pStyle w:val="NormalRiskpart"/>
              <w:snapToGrid w:val="0"/>
              <w:jc w:val="left"/>
              <w:rPr>
                <w:rFonts w:asciiTheme="minorHAnsi" w:hAnsiTheme="minorHAnsi" w:cstheme="minorHAnsi"/>
                <w:sz w:val="22"/>
                <w:szCs w:val="22"/>
              </w:rPr>
            </w:pPr>
            <w:r w:rsidRPr="00ED342E">
              <w:rPr>
                <w:rFonts w:asciiTheme="minorHAnsi" w:hAnsiTheme="minorHAnsi" w:cstheme="minorHAnsi"/>
                <w:sz w:val="22"/>
                <w:szCs w:val="22"/>
              </w:rPr>
              <w:t>Maternité (y compris congés pathologiques), adoption, paternité et accueil de l’enfant</w:t>
            </w:r>
          </w:p>
        </w:tc>
        <w:tc>
          <w:tcPr>
            <w:tcW w:w="2491" w:type="dxa"/>
            <w:tcBorders>
              <w:left w:val="single" w:sz="4" w:space="0" w:color="000000"/>
              <w:bottom w:val="single" w:sz="4" w:space="0" w:color="auto"/>
              <w:right w:val="single" w:sz="4" w:space="0" w:color="auto"/>
            </w:tcBorders>
            <w:vAlign w:val="center"/>
          </w:tcPr>
          <w:p w14:paraId="10AA1FA6" w14:textId="77777777" w:rsidR="00F549EF" w:rsidRPr="00FB2680" w:rsidRDefault="00F549EF" w:rsidP="00F0578D">
            <w:pPr>
              <w:pStyle w:val="NormalRiskpart"/>
              <w:snapToGrid w:val="0"/>
              <w:jc w:val="center"/>
              <w:rPr>
                <w:rFonts w:ascii="Aptos" w:hAnsi="Aptos" w:cstheme="minorHAnsi"/>
                <w:sz w:val="22"/>
                <w:szCs w:val="22"/>
              </w:rPr>
            </w:pPr>
            <w:r w:rsidRPr="00FB2680">
              <w:rPr>
                <w:rFonts w:ascii="Aptos" w:hAnsi="Aptos" w:cstheme="minorHAnsi"/>
                <w:sz w:val="22"/>
                <w:szCs w:val="22"/>
              </w:rPr>
              <w:t>Sans franchise</w:t>
            </w:r>
          </w:p>
        </w:tc>
        <w:tc>
          <w:tcPr>
            <w:tcW w:w="1619" w:type="dxa"/>
            <w:vMerge/>
            <w:tcBorders>
              <w:left w:val="single" w:sz="4" w:space="0" w:color="auto"/>
              <w:right w:val="single" w:sz="4" w:space="0" w:color="auto"/>
            </w:tcBorders>
          </w:tcPr>
          <w:p w14:paraId="698CDEDF" w14:textId="77777777" w:rsidR="00F549EF" w:rsidRPr="00FB2680" w:rsidRDefault="00F549EF" w:rsidP="00F0578D">
            <w:pPr>
              <w:pStyle w:val="Contenudetableau"/>
              <w:snapToGrid w:val="0"/>
              <w:jc w:val="center"/>
              <w:rPr>
                <w:rFonts w:ascii="Aptos" w:hAnsi="Aptos" w:cstheme="minorHAnsi"/>
                <w:sz w:val="22"/>
                <w:szCs w:val="22"/>
              </w:rPr>
            </w:pPr>
          </w:p>
        </w:tc>
      </w:tr>
      <w:tr w:rsidR="00F549EF" w:rsidRPr="00FB2680" w14:paraId="518DE60E" w14:textId="77777777" w:rsidTr="00F0578D">
        <w:tc>
          <w:tcPr>
            <w:tcW w:w="5589" w:type="dxa"/>
            <w:tcBorders>
              <w:top w:val="single" w:sz="4" w:space="0" w:color="auto"/>
              <w:left w:val="single" w:sz="4" w:space="0" w:color="auto"/>
              <w:bottom w:val="single" w:sz="4" w:space="0" w:color="auto"/>
              <w:right w:val="single" w:sz="4" w:space="0" w:color="auto"/>
            </w:tcBorders>
            <w:vAlign w:val="center"/>
          </w:tcPr>
          <w:p w14:paraId="5CE78418" w14:textId="77777777" w:rsidR="00F549EF" w:rsidRPr="00ED342E" w:rsidRDefault="00F549EF" w:rsidP="00F0578D">
            <w:pPr>
              <w:pStyle w:val="NormalRiskpart"/>
              <w:snapToGrid w:val="0"/>
              <w:jc w:val="left"/>
              <w:rPr>
                <w:rFonts w:asciiTheme="minorHAnsi" w:hAnsiTheme="minorHAnsi" w:cstheme="minorHAnsi"/>
                <w:sz w:val="22"/>
                <w:szCs w:val="22"/>
              </w:rPr>
            </w:pPr>
            <w:r w:rsidRPr="00FB2680">
              <w:rPr>
                <w:rFonts w:ascii="Aptos" w:hAnsi="Aptos" w:cstheme="minorHAnsi"/>
                <w:sz w:val="22"/>
                <w:szCs w:val="22"/>
              </w:rPr>
              <w:t>Maladie ordinaire</w:t>
            </w:r>
          </w:p>
        </w:tc>
        <w:tc>
          <w:tcPr>
            <w:tcW w:w="2491" w:type="dxa"/>
            <w:tcBorders>
              <w:top w:val="single" w:sz="4" w:space="0" w:color="auto"/>
              <w:left w:val="single" w:sz="4" w:space="0" w:color="auto"/>
              <w:bottom w:val="single" w:sz="4" w:space="0" w:color="auto"/>
              <w:right w:val="single" w:sz="4" w:space="0" w:color="auto"/>
            </w:tcBorders>
            <w:vAlign w:val="center"/>
          </w:tcPr>
          <w:p w14:paraId="38C38368" w14:textId="43F1E211" w:rsidR="00F549EF" w:rsidRPr="00FB2680" w:rsidRDefault="00F549EF" w:rsidP="00F0578D">
            <w:pPr>
              <w:pStyle w:val="NormalRiskpart"/>
              <w:snapToGrid w:val="0"/>
              <w:jc w:val="center"/>
              <w:rPr>
                <w:rFonts w:ascii="Aptos" w:hAnsi="Aptos" w:cstheme="minorHAnsi"/>
                <w:sz w:val="22"/>
                <w:szCs w:val="22"/>
              </w:rPr>
            </w:pPr>
            <w:r w:rsidRPr="00FB2680">
              <w:rPr>
                <w:rFonts w:ascii="Aptos" w:hAnsi="Aptos" w:cstheme="minorHAnsi"/>
                <w:sz w:val="22"/>
                <w:szCs w:val="22"/>
              </w:rPr>
              <w:t xml:space="preserve">Franchise </w:t>
            </w:r>
            <w:r>
              <w:rPr>
                <w:rFonts w:ascii="Aptos" w:hAnsi="Aptos" w:cstheme="minorHAnsi"/>
                <w:sz w:val="22"/>
                <w:szCs w:val="22"/>
              </w:rPr>
              <w:t>1</w:t>
            </w:r>
            <w:r w:rsidR="006A4DFC">
              <w:rPr>
                <w:rFonts w:ascii="Aptos" w:hAnsi="Aptos" w:cstheme="minorHAnsi"/>
                <w:sz w:val="22"/>
                <w:szCs w:val="22"/>
              </w:rPr>
              <w:t>0</w:t>
            </w:r>
            <w:r w:rsidRPr="00FB2680">
              <w:rPr>
                <w:rFonts w:ascii="Aptos" w:hAnsi="Aptos" w:cstheme="minorHAnsi"/>
                <w:sz w:val="22"/>
                <w:szCs w:val="22"/>
              </w:rPr>
              <w:t xml:space="preserve"> jours consécutifs*</w:t>
            </w:r>
          </w:p>
        </w:tc>
        <w:tc>
          <w:tcPr>
            <w:tcW w:w="1619" w:type="dxa"/>
            <w:vMerge/>
            <w:tcBorders>
              <w:left w:val="single" w:sz="4" w:space="0" w:color="auto"/>
              <w:bottom w:val="single" w:sz="4" w:space="0" w:color="auto"/>
              <w:right w:val="single" w:sz="4" w:space="0" w:color="auto"/>
            </w:tcBorders>
          </w:tcPr>
          <w:p w14:paraId="3F94FBD5" w14:textId="77777777" w:rsidR="00F549EF" w:rsidRPr="00FB2680" w:rsidRDefault="00F549EF" w:rsidP="00F0578D">
            <w:pPr>
              <w:pStyle w:val="Contenudetableau"/>
              <w:snapToGrid w:val="0"/>
              <w:jc w:val="center"/>
              <w:rPr>
                <w:rFonts w:ascii="Aptos" w:hAnsi="Aptos" w:cstheme="minorHAnsi"/>
                <w:sz w:val="22"/>
                <w:szCs w:val="22"/>
              </w:rPr>
            </w:pPr>
          </w:p>
        </w:tc>
      </w:tr>
    </w:tbl>
    <w:p w14:paraId="336219AF" w14:textId="77777777" w:rsidR="00F549EF" w:rsidRDefault="00F549EF" w:rsidP="00F31C29">
      <w:pPr>
        <w:widowControl w:val="0"/>
        <w:tabs>
          <w:tab w:val="left" w:pos="1110"/>
          <w:tab w:val="left" w:pos="9193"/>
        </w:tabs>
        <w:ind w:right="121"/>
        <w:jc w:val="both"/>
        <w:rPr>
          <w:rFonts w:ascii="Aptos" w:eastAsia="Calibri" w:hAnsi="Aptos"/>
          <w:b/>
          <w:bCs/>
          <w:color w:val="000000"/>
          <w:sz w:val="22"/>
          <w:szCs w:val="22"/>
        </w:rPr>
      </w:pPr>
    </w:p>
    <w:p w14:paraId="2FC0C602" w14:textId="79255980" w:rsidR="00F549EF" w:rsidRPr="00A9646F" w:rsidRDefault="00A9646F" w:rsidP="00F31C29">
      <w:pPr>
        <w:widowControl w:val="0"/>
        <w:tabs>
          <w:tab w:val="left" w:pos="1110"/>
          <w:tab w:val="left" w:pos="9193"/>
        </w:tabs>
        <w:ind w:right="121"/>
        <w:jc w:val="both"/>
        <w:rPr>
          <w:rFonts w:ascii="Aptos" w:eastAsia="Calibri" w:hAnsi="Aptos"/>
          <w:b/>
          <w:bCs/>
          <w:color w:val="000000"/>
          <w:sz w:val="22"/>
          <w:szCs w:val="22"/>
          <w:highlight w:val="cyan"/>
        </w:rPr>
      </w:pPr>
      <w:r w:rsidRPr="00A9646F">
        <w:rPr>
          <w:rFonts w:ascii="Aptos" w:eastAsia="Calibri" w:hAnsi="Aptos"/>
          <w:b/>
          <w:bCs/>
          <w:color w:val="000000"/>
          <w:sz w:val="22"/>
          <w:szCs w:val="22"/>
          <w:highlight w:val="cyan"/>
        </w:rPr>
        <w:t xml:space="preserve">Option n° 2 : </w:t>
      </w:r>
    </w:p>
    <w:p w14:paraId="3B4C4310" w14:textId="77777777" w:rsidR="00BA2095" w:rsidRDefault="00BA2095" w:rsidP="00F31C29">
      <w:pPr>
        <w:widowControl w:val="0"/>
        <w:tabs>
          <w:tab w:val="left" w:pos="1110"/>
          <w:tab w:val="left" w:pos="9193"/>
        </w:tabs>
        <w:ind w:right="121"/>
        <w:jc w:val="both"/>
        <w:rPr>
          <w:rFonts w:ascii="Aptos" w:eastAsia="Calibri" w:hAnsi="Aptos"/>
          <w:b/>
          <w:bCs/>
          <w:color w:val="000000"/>
          <w:sz w:val="22"/>
          <w:szCs w:val="22"/>
        </w:rPr>
      </w:pPr>
    </w:p>
    <w:tbl>
      <w:tblPr>
        <w:tblW w:w="9699" w:type="dxa"/>
        <w:tblInd w:w="-5" w:type="dxa"/>
        <w:tblLayout w:type="fixed"/>
        <w:tblCellMar>
          <w:top w:w="55" w:type="dxa"/>
          <w:left w:w="55" w:type="dxa"/>
          <w:bottom w:w="55" w:type="dxa"/>
          <w:right w:w="55" w:type="dxa"/>
        </w:tblCellMar>
        <w:tblLook w:val="0000" w:firstRow="0" w:lastRow="0" w:firstColumn="0" w:lastColumn="0" w:noHBand="0" w:noVBand="0"/>
      </w:tblPr>
      <w:tblGrid>
        <w:gridCol w:w="5589"/>
        <w:gridCol w:w="2491"/>
        <w:gridCol w:w="1619"/>
      </w:tblGrid>
      <w:tr w:rsidR="00BA2095" w:rsidRPr="00FB2680" w14:paraId="313247EC" w14:textId="77777777" w:rsidTr="00F0578D">
        <w:tc>
          <w:tcPr>
            <w:tcW w:w="9699"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A70B73B" w14:textId="77777777" w:rsidR="00BA2095" w:rsidRPr="00FB2680" w:rsidRDefault="00BA2095" w:rsidP="00F0578D">
            <w:pPr>
              <w:pStyle w:val="NormalRiskpart"/>
              <w:snapToGrid w:val="0"/>
              <w:jc w:val="center"/>
              <w:rPr>
                <w:rFonts w:ascii="Aptos" w:hAnsi="Aptos" w:cstheme="minorHAnsi"/>
                <w:b/>
                <w:bCs/>
                <w:sz w:val="22"/>
                <w:szCs w:val="22"/>
              </w:rPr>
            </w:pPr>
            <w:bookmarkStart w:id="1" w:name="_Hlk208566151"/>
            <w:r w:rsidRPr="00FB2680">
              <w:rPr>
                <w:rFonts w:ascii="Aptos" w:hAnsi="Aptos" w:cstheme="minorHAnsi"/>
                <w:b/>
                <w:bCs/>
                <w:sz w:val="22"/>
                <w:szCs w:val="22"/>
              </w:rPr>
              <w:t xml:space="preserve">Garanties pour les agents affiliés à la CNRACL </w:t>
            </w:r>
          </w:p>
        </w:tc>
      </w:tr>
      <w:tr w:rsidR="00BA2095" w:rsidRPr="00FB2680" w14:paraId="43B6CCBF" w14:textId="77777777" w:rsidTr="00912729">
        <w:tc>
          <w:tcPr>
            <w:tcW w:w="5589" w:type="dxa"/>
            <w:tcBorders>
              <w:top w:val="single" w:sz="4" w:space="0" w:color="auto"/>
              <w:left w:val="single" w:sz="4" w:space="0" w:color="000000"/>
              <w:bottom w:val="single" w:sz="4" w:space="0" w:color="000000"/>
            </w:tcBorders>
            <w:vAlign w:val="center"/>
          </w:tcPr>
          <w:p w14:paraId="70FDFB61" w14:textId="77777777" w:rsidR="00BA2095" w:rsidRPr="00ED342E" w:rsidRDefault="00BA2095" w:rsidP="00F0578D">
            <w:pPr>
              <w:pStyle w:val="NormalRiskpart"/>
              <w:snapToGrid w:val="0"/>
              <w:jc w:val="center"/>
              <w:rPr>
                <w:rFonts w:asciiTheme="minorHAnsi" w:hAnsiTheme="minorHAnsi" w:cstheme="minorHAnsi"/>
                <w:b/>
                <w:bCs/>
                <w:sz w:val="22"/>
                <w:szCs w:val="22"/>
              </w:rPr>
            </w:pPr>
            <w:r w:rsidRPr="00ED342E">
              <w:rPr>
                <w:rFonts w:asciiTheme="minorHAnsi" w:hAnsiTheme="minorHAnsi" w:cstheme="minorHAnsi"/>
                <w:b/>
                <w:bCs/>
                <w:sz w:val="22"/>
                <w:szCs w:val="22"/>
              </w:rPr>
              <w:t>Désignation des risques</w:t>
            </w:r>
          </w:p>
        </w:tc>
        <w:tc>
          <w:tcPr>
            <w:tcW w:w="2491" w:type="dxa"/>
            <w:tcBorders>
              <w:top w:val="single" w:sz="4" w:space="0" w:color="auto"/>
              <w:left w:val="single" w:sz="4" w:space="0" w:color="000000"/>
              <w:bottom w:val="single" w:sz="4" w:space="0" w:color="000000"/>
              <w:right w:val="single" w:sz="4" w:space="0" w:color="auto"/>
            </w:tcBorders>
            <w:vAlign w:val="center"/>
          </w:tcPr>
          <w:p w14:paraId="5AA19F7D" w14:textId="77777777" w:rsidR="00BA2095" w:rsidRPr="00FB2680" w:rsidRDefault="00BA2095" w:rsidP="00F0578D">
            <w:pPr>
              <w:pStyle w:val="NormalRiskpart"/>
              <w:snapToGrid w:val="0"/>
              <w:jc w:val="center"/>
              <w:rPr>
                <w:rFonts w:ascii="Aptos" w:hAnsi="Aptos" w:cstheme="minorHAnsi"/>
                <w:b/>
                <w:bCs/>
                <w:sz w:val="22"/>
                <w:szCs w:val="22"/>
              </w:rPr>
            </w:pPr>
            <w:r w:rsidRPr="00FB2680">
              <w:rPr>
                <w:rFonts w:ascii="Aptos" w:hAnsi="Aptos" w:cstheme="minorHAnsi"/>
                <w:b/>
                <w:bCs/>
                <w:sz w:val="22"/>
                <w:szCs w:val="22"/>
              </w:rPr>
              <w:t>Formule de franchise par arrêt*</w:t>
            </w:r>
          </w:p>
        </w:tc>
        <w:tc>
          <w:tcPr>
            <w:tcW w:w="1619" w:type="dxa"/>
            <w:tcBorders>
              <w:top w:val="single" w:sz="4" w:space="0" w:color="auto"/>
              <w:left w:val="single" w:sz="4" w:space="0" w:color="auto"/>
              <w:bottom w:val="single" w:sz="4" w:space="0" w:color="auto"/>
              <w:right w:val="single" w:sz="4" w:space="0" w:color="auto"/>
            </w:tcBorders>
          </w:tcPr>
          <w:p w14:paraId="057063F1" w14:textId="77777777" w:rsidR="00BA2095" w:rsidRPr="00FB2680" w:rsidRDefault="00BA2095" w:rsidP="00F0578D">
            <w:pPr>
              <w:pStyle w:val="NormalRiskpart"/>
              <w:snapToGrid w:val="0"/>
              <w:jc w:val="center"/>
              <w:rPr>
                <w:rFonts w:ascii="Aptos" w:hAnsi="Aptos" w:cstheme="minorHAnsi"/>
                <w:b/>
                <w:bCs/>
                <w:sz w:val="22"/>
                <w:szCs w:val="22"/>
              </w:rPr>
            </w:pPr>
            <w:r w:rsidRPr="00FB2680">
              <w:rPr>
                <w:rFonts w:ascii="Aptos" w:hAnsi="Aptos" w:cstheme="minorHAnsi"/>
                <w:b/>
                <w:bCs/>
                <w:sz w:val="22"/>
                <w:szCs w:val="22"/>
              </w:rPr>
              <w:t>Taux</w:t>
            </w:r>
          </w:p>
        </w:tc>
      </w:tr>
      <w:tr w:rsidR="00912729" w:rsidRPr="00FB2680" w14:paraId="40FD6DBC" w14:textId="77777777" w:rsidTr="00A86F1B">
        <w:tc>
          <w:tcPr>
            <w:tcW w:w="5589" w:type="dxa"/>
            <w:tcBorders>
              <w:left w:val="single" w:sz="4" w:space="0" w:color="000000"/>
              <w:bottom w:val="single" w:sz="4" w:space="0" w:color="auto"/>
            </w:tcBorders>
            <w:vAlign w:val="center"/>
          </w:tcPr>
          <w:p w14:paraId="56D99E11" w14:textId="77777777" w:rsidR="00912729" w:rsidRPr="00ED342E" w:rsidRDefault="00912729" w:rsidP="00F0578D">
            <w:pPr>
              <w:pStyle w:val="NormalRiskpart"/>
              <w:snapToGrid w:val="0"/>
              <w:jc w:val="left"/>
              <w:rPr>
                <w:rFonts w:asciiTheme="minorHAnsi" w:hAnsiTheme="minorHAnsi" w:cstheme="minorHAnsi"/>
                <w:sz w:val="22"/>
                <w:szCs w:val="22"/>
              </w:rPr>
            </w:pPr>
            <w:r w:rsidRPr="00ED342E">
              <w:rPr>
                <w:rFonts w:asciiTheme="minorHAnsi" w:hAnsiTheme="minorHAnsi" w:cstheme="minorHAnsi"/>
                <w:sz w:val="22"/>
                <w:szCs w:val="22"/>
              </w:rPr>
              <w:t>Décès</w:t>
            </w:r>
          </w:p>
        </w:tc>
        <w:tc>
          <w:tcPr>
            <w:tcW w:w="2491" w:type="dxa"/>
            <w:tcBorders>
              <w:left w:val="single" w:sz="4" w:space="0" w:color="000000"/>
              <w:bottom w:val="single" w:sz="4" w:space="0" w:color="000000"/>
              <w:right w:val="single" w:sz="4" w:space="0" w:color="auto"/>
            </w:tcBorders>
            <w:vAlign w:val="center"/>
          </w:tcPr>
          <w:p w14:paraId="7591D47B" w14:textId="77777777" w:rsidR="00912729" w:rsidRPr="00FB2680" w:rsidRDefault="00912729" w:rsidP="00F0578D">
            <w:pPr>
              <w:pStyle w:val="NormalRiskpart"/>
              <w:snapToGrid w:val="0"/>
              <w:jc w:val="center"/>
              <w:rPr>
                <w:rFonts w:ascii="Aptos" w:hAnsi="Aptos" w:cstheme="minorHAnsi"/>
                <w:b/>
                <w:bCs/>
                <w:color w:val="FF3333"/>
                <w:sz w:val="22"/>
                <w:szCs w:val="22"/>
              </w:rPr>
            </w:pPr>
            <w:r w:rsidRPr="00FB2680">
              <w:rPr>
                <w:rFonts w:ascii="Aptos" w:hAnsi="Aptos" w:cstheme="minorHAnsi"/>
                <w:sz w:val="22"/>
                <w:szCs w:val="22"/>
              </w:rPr>
              <w:t>Sans franchise</w:t>
            </w:r>
          </w:p>
        </w:tc>
        <w:tc>
          <w:tcPr>
            <w:tcW w:w="1619" w:type="dxa"/>
            <w:vMerge w:val="restart"/>
            <w:tcBorders>
              <w:top w:val="single" w:sz="4" w:space="0" w:color="auto"/>
              <w:left w:val="single" w:sz="4" w:space="0" w:color="auto"/>
              <w:right w:val="single" w:sz="4" w:space="0" w:color="auto"/>
            </w:tcBorders>
            <w:vAlign w:val="center"/>
          </w:tcPr>
          <w:p w14:paraId="76915882" w14:textId="46E40F97" w:rsidR="00912729" w:rsidRPr="00912729" w:rsidRDefault="00A86F1B" w:rsidP="00A86F1B">
            <w:pPr>
              <w:pStyle w:val="NormalRiskpart"/>
              <w:snapToGrid w:val="0"/>
              <w:jc w:val="center"/>
              <w:rPr>
                <w:rFonts w:ascii="Aptos" w:hAnsi="Aptos" w:cstheme="minorHAnsi"/>
                <w:b/>
                <w:bCs/>
                <w:sz w:val="22"/>
                <w:szCs w:val="22"/>
              </w:rPr>
            </w:pPr>
            <w:r>
              <w:rPr>
                <w:rFonts w:ascii="Aptos" w:hAnsi="Aptos" w:cstheme="minorHAnsi"/>
                <w:b/>
                <w:bCs/>
                <w:sz w:val="22"/>
                <w:szCs w:val="22"/>
              </w:rPr>
              <w:t>6.</w:t>
            </w:r>
            <w:r w:rsidR="006A4DFC">
              <w:rPr>
                <w:rFonts w:ascii="Aptos" w:hAnsi="Aptos" w:cstheme="minorHAnsi"/>
                <w:b/>
                <w:bCs/>
                <w:sz w:val="22"/>
                <w:szCs w:val="22"/>
              </w:rPr>
              <w:t>68</w:t>
            </w:r>
            <w:r>
              <w:rPr>
                <w:rFonts w:ascii="Aptos" w:hAnsi="Aptos" w:cstheme="minorHAnsi"/>
                <w:b/>
                <w:bCs/>
                <w:sz w:val="22"/>
                <w:szCs w:val="22"/>
              </w:rPr>
              <w:t xml:space="preserve"> %</w:t>
            </w:r>
          </w:p>
        </w:tc>
      </w:tr>
      <w:tr w:rsidR="00912729" w:rsidRPr="00FB2680" w14:paraId="28FD2DAA" w14:textId="77777777" w:rsidTr="00912729">
        <w:tc>
          <w:tcPr>
            <w:tcW w:w="5589" w:type="dxa"/>
            <w:tcBorders>
              <w:top w:val="single" w:sz="4" w:space="0" w:color="auto"/>
              <w:left w:val="single" w:sz="4" w:space="0" w:color="auto"/>
              <w:bottom w:val="single" w:sz="4" w:space="0" w:color="auto"/>
              <w:right w:val="single" w:sz="4" w:space="0" w:color="auto"/>
            </w:tcBorders>
            <w:vAlign w:val="center"/>
          </w:tcPr>
          <w:p w14:paraId="55679E89" w14:textId="77777777" w:rsidR="00912729" w:rsidRPr="00ED342E" w:rsidRDefault="00912729" w:rsidP="00F0578D">
            <w:pPr>
              <w:pStyle w:val="Contenudetableau"/>
              <w:snapToGrid w:val="0"/>
              <w:jc w:val="both"/>
              <w:rPr>
                <w:rFonts w:asciiTheme="minorHAnsi" w:eastAsia="Batang" w:hAnsiTheme="minorHAnsi" w:cstheme="minorHAnsi"/>
                <w:sz w:val="22"/>
                <w:szCs w:val="22"/>
              </w:rPr>
            </w:pPr>
            <w:r>
              <w:rPr>
                <w:rFonts w:asciiTheme="minorHAnsi" w:eastAsia="Batang" w:hAnsiTheme="minorHAnsi" w:cstheme="minorHAnsi"/>
                <w:sz w:val="22"/>
                <w:szCs w:val="22"/>
              </w:rPr>
              <w:t>CITIS (Congé pour Invalidité Temporaire Imputable au Service)</w:t>
            </w:r>
          </w:p>
        </w:tc>
        <w:tc>
          <w:tcPr>
            <w:tcW w:w="2491" w:type="dxa"/>
            <w:tcBorders>
              <w:left w:val="single" w:sz="4" w:space="0" w:color="auto"/>
              <w:bottom w:val="single" w:sz="4" w:space="0" w:color="000000"/>
              <w:right w:val="single" w:sz="4" w:space="0" w:color="auto"/>
            </w:tcBorders>
            <w:vAlign w:val="center"/>
          </w:tcPr>
          <w:p w14:paraId="0339D46D" w14:textId="77777777" w:rsidR="00912729" w:rsidRPr="00FB2680" w:rsidRDefault="00912729" w:rsidP="00F0578D">
            <w:pPr>
              <w:pStyle w:val="NormalRiskpart"/>
              <w:snapToGrid w:val="0"/>
              <w:jc w:val="center"/>
              <w:rPr>
                <w:rFonts w:ascii="Aptos" w:hAnsi="Aptos" w:cstheme="minorHAnsi"/>
                <w:sz w:val="22"/>
                <w:szCs w:val="22"/>
              </w:rPr>
            </w:pPr>
            <w:r w:rsidRPr="00FB2680">
              <w:rPr>
                <w:rFonts w:ascii="Aptos" w:hAnsi="Aptos" w:cstheme="minorHAnsi"/>
                <w:sz w:val="22"/>
                <w:szCs w:val="22"/>
              </w:rPr>
              <w:t>Sans franchise</w:t>
            </w:r>
          </w:p>
        </w:tc>
        <w:tc>
          <w:tcPr>
            <w:tcW w:w="1619" w:type="dxa"/>
            <w:vMerge/>
            <w:tcBorders>
              <w:left w:val="single" w:sz="4" w:space="0" w:color="auto"/>
              <w:right w:val="single" w:sz="4" w:space="0" w:color="auto"/>
            </w:tcBorders>
          </w:tcPr>
          <w:p w14:paraId="5C97073A" w14:textId="77777777" w:rsidR="00912729" w:rsidRPr="00FB2680" w:rsidRDefault="00912729" w:rsidP="00F0578D">
            <w:pPr>
              <w:pStyle w:val="NormalRiskpart"/>
              <w:snapToGrid w:val="0"/>
              <w:jc w:val="center"/>
              <w:rPr>
                <w:rFonts w:ascii="Aptos" w:hAnsi="Aptos" w:cstheme="minorHAnsi"/>
                <w:sz w:val="22"/>
                <w:szCs w:val="22"/>
              </w:rPr>
            </w:pPr>
          </w:p>
        </w:tc>
      </w:tr>
      <w:tr w:rsidR="00912729" w:rsidRPr="00FB2680" w14:paraId="1E12CF25" w14:textId="77777777" w:rsidTr="00912729">
        <w:tc>
          <w:tcPr>
            <w:tcW w:w="5589" w:type="dxa"/>
            <w:tcBorders>
              <w:top w:val="single" w:sz="4" w:space="0" w:color="auto"/>
              <w:left w:val="single" w:sz="4" w:space="0" w:color="auto"/>
              <w:bottom w:val="single" w:sz="4" w:space="0" w:color="auto"/>
              <w:right w:val="single" w:sz="4" w:space="0" w:color="auto"/>
            </w:tcBorders>
            <w:vAlign w:val="center"/>
          </w:tcPr>
          <w:p w14:paraId="13CDAB53" w14:textId="77777777" w:rsidR="00912729" w:rsidRPr="00ED342E" w:rsidRDefault="00912729" w:rsidP="00F0578D">
            <w:pPr>
              <w:pStyle w:val="NormalRiskpart"/>
              <w:snapToGrid w:val="0"/>
              <w:jc w:val="left"/>
              <w:rPr>
                <w:rFonts w:asciiTheme="minorHAnsi" w:hAnsiTheme="minorHAnsi" w:cstheme="minorHAnsi"/>
                <w:sz w:val="22"/>
                <w:szCs w:val="22"/>
              </w:rPr>
            </w:pPr>
            <w:r w:rsidRPr="00ED342E">
              <w:rPr>
                <w:rFonts w:asciiTheme="minorHAnsi" w:hAnsiTheme="minorHAnsi" w:cstheme="minorHAnsi"/>
                <w:sz w:val="22"/>
                <w:szCs w:val="22"/>
              </w:rPr>
              <w:t>Longue maladie, maladie longue durée</w:t>
            </w:r>
          </w:p>
        </w:tc>
        <w:tc>
          <w:tcPr>
            <w:tcW w:w="2491" w:type="dxa"/>
            <w:tcBorders>
              <w:left w:val="single" w:sz="4" w:space="0" w:color="auto"/>
              <w:bottom w:val="single" w:sz="4" w:space="0" w:color="000000"/>
              <w:right w:val="single" w:sz="4" w:space="0" w:color="auto"/>
            </w:tcBorders>
            <w:vAlign w:val="center"/>
          </w:tcPr>
          <w:p w14:paraId="54325D74" w14:textId="77777777" w:rsidR="00912729" w:rsidRPr="00FB2680" w:rsidRDefault="00912729" w:rsidP="00F0578D">
            <w:pPr>
              <w:pStyle w:val="NormalRiskpart"/>
              <w:snapToGrid w:val="0"/>
              <w:jc w:val="center"/>
              <w:rPr>
                <w:rFonts w:ascii="Aptos" w:hAnsi="Aptos" w:cstheme="minorHAnsi"/>
                <w:sz w:val="22"/>
                <w:szCs w:val="22"/>
              </w:rPr>
            </w:pPr>
            <w:r w:rsidRPr="00FB2680">
              <w:rPr>
                <w:rFonts w:ascii="Aptos" w:hAnsi="Aptos" w:cstheme="minorHAnsi"/>
                <w:sz w:val="22"/>
                <w:szCs w:val="22"/>
              </w:rPr>
              <w:t>Sans franchise*</w:t>
            </w:r>
          </w:p>
        </w:tc>
        <w:tc>
          <w:tcPr>
            <w:tcW w:w="1619" w:type="dxa"/>
            <w:vMerge/>
            <w:tcBorders>
              <w:left w:val="single" w:sz="4" w:space="0" w:color="auto"/>
              <w:right w:val="single" w:sz="4" w:space="0" w:color="auto"/>
            </w:tcBorders>
          </w:tcPr>
          <w:p w14:paraId="2B37FDDD" w14:textId="77777777" w:rsidR="00912729" w:rsidRPr="00FB2680" w:rsidRDefault="00912729" w:rsidP="00F0578D">
            <w:pPr>
              <w:pStyle w:val="Contenudetableau"/>
              <w:snapToGrid w:val="0"/>
              <w:jc w:val="center"/>
              <w:rPr>
                <w:rFonts w:ascii="Aptos" w:hAnsi="Aptos" w:cstheme="minorHAnsi"/>
                <w:sz w:val="22"/>
                <w:szCs w:val="22"/>
              </w:rPr>
            </w:pPr>
          </w:p>
        </w:tc>
      </w:tr>
      <w:tr w:rsidR="00912729" w:rsidRPr="00FB2680" w14:paraId="43881144" w14:textId="77777777" w:rsidTr="00912729">
        <w:tc>
          <w:tcPr>
            <w:tcW w:w="5589" w:type="dxa"/>
            <w:tcBorders>
              <w:top w:val="single" w:sz="4" w:space="0" w:color="auto"/>
              <w:left w:val="single" w:sz="4" w:space="0" w:color="000000"/>
              <w:bottom w:val="single" w:sz="4" w:space="0" w:color="000000"/>
            </w:tcBorders>
            <w:vAlign w:val="center"/>
          </w:tcPr>
          <w:p w14:paraId="52A17956" w14:textId="77777777" w:rsidR="00912729" w:rsidRPr="00ED342E" w:rsidRDefault="00912729" w:rsidP="00F0578D">
            <w:pPr>
              <w:pStyle w:val="NormalRiskpart"/>
              <w:snapToGrid w:val="0"/>
              <w:jc w:val="left"/>
              <w:rPr>
                <w:rFonts w:asciiTheme="minorHAnsi" w:hAnsiTheme="minorHAnsi" w:cstheme="minorHAnsi"/>
                <w:sz w:val="22"/>
                <w:szCs w:val="22"/>
              </w:rPr>
            </w:pPr>
            <w:r w:rsidRPr="00ED342E">
              <w:rPr>
                <w:rFonts w:asciiTheme="minorHAnsi" w:hAnsiTheme="minorHAnsi" w:cstheme="minorHAnsi"/>
                <w:sz w:val="22"/>
                <w:szCs w:val="22"/>
              </w:rPr>
              <w:t>Temps partiel thérapeutique, mise en disponibilité d'office pour maladie, infirmité de guerre, allocation d’invalidité temporaire</w:t>
            </w:r>
          </w:p>
        </w:tc>
        <w:tc>
          <w:tcPr>
            <w:tcW w:w="2491" w:type="dxa"/>
            <w:tcBorders>
              <w:left w:val="single" w:sz="4" w:space="0" w:color="000000"/>
              <w:bottom w:val="single" w:sz="4" w:space="0" w:color="000000"/>
              <w:right w:val="single" w:sz="4" w:space="0" w:color="auto"/>
            </w:tcBorders>
            <w:vAlign w:val="center"/>
          </w:tcPr>
          <w:p w14:paraId="17B8A93E" w14:textId="77777777" w:rsidR="00912729" w:rsidRPr="00FB2680" w:rsidRDefault="00912729" w:rsidP="00F0578D">
            <w:pPr>
              <w:pStyle w:val="Contenudetableau"/>
              <w:snapToGrid w:val="0"/>
              <w:jc w:val="center"/>
              <w:rPr>
                <w:rFonts w:ascii="Aptos" w:hAnsi="Aptos" w:cstheme="minorHAnsi"/>
                <w:sz w:val="22"/>
                <w:szCs w:val="22"/>
              </w:rPr>
            </w:pPr>
            <w:r w:rsidRPr="00FB2680">
              <w:rPr>
                <w:rFonts w:ascii="Aptos" w:hAnsi="Aptos" w:cstheme="minorHAnsi"/>
                <w:sz w:val="22"/>
                <w:szCs w:val="22"/>
              </w:rPr>
              <w:t>Inclus dans les taux</w:t>
            </w:r>
          </w:p>
        </w:tc>
        <w:tc>
          <w:tcPr>
            <w:tcW w:w="1619" w:type="dxa"/>
            <w:vMerge/>
            <w:tcBorders>
              <w:left w:val="single" w:sz="4" w:space="0" w:color="auto"/>
              <w:right w:val="single" w:sz="4" w:space="0" w:color="auto"/>
            </w:tcBorders>
          </w:tcPr>
          <w:p w14:paraId="22417090" w14:textId="77777777" w:rsidR="00912729" w:rsidRPr="00FB2680" w:rsidRDefault="00912729" w:rsidP="00F0578D">
            <w:pPr>
              <w:pStyle w:val="Contenudetableau"/>
              <w:snapToGrid w:val="0"/>
              <w:jc w:val="center"/>
              <w:rPr>
                <w:rFonts w:ascii="Aptos" w:hAnsi="Aptos" w:cstheme="minorHAnsi"/>
                <w:sz w:val="22"/>
                <w:szCs w:val="22"/>
              </w:rPr>
            </w:pPr>
          </w:p>
        </w:tc>
      </w:tr>
      <w:tr w:rsidR="00912729" w:rsidRPr="00FB2680" w14:paraId="12E5EA13" w14:textId="77777777" w:rsidTr="00912729">
        <w:tc>
          <w:tcPr>
            <w:tcW w:w="5589" w:type="dxa"/>
            <w:tcBorders>
              <w:left w:val="single" w:sz="4" w:space="0" w:color="000000"/>
              <w:bottom w:val="single" w:sz="4" w:space="0" w:color="auto"/>
            </w:tcBorders>
            <w:vAlign w:val="center"/>
          </w:tcPr>
          <w:p w14:paraId="560B2615" w14:textId="77777777" w:rsidR="00912729" w:rsidRPr="00ED342E" w:rsidRDefault="00912729" w:rsidP="00F0578D">
            <w:pPr>
              <w:pStyle w:val="NormalRiskpart"/>
              <w:snapToGrid w:val="0"/>
              <w:jc w:val="left"/>
              <w:rPr>
                <w:rFonts w:asciiTheme="minorHAnsi" w:hAnsiTheme="minorHAnsi" w:cstheme="minorHAnsi"/>
                <w:sz w:val="22"/>
                <w:szCs w:val="22"/>
              </w:rPr>
            </w:pPr>
            <w:r w:rsidRPr="00ED342E">
              <w:rPr>
                <w:rFonts w:asciiTheme="minorHAnsi" w:hAnsiTheme="minorHAnsi" w:cstheme="minorHAnsi"/>
                <w:sz w:val="22"/>
                <w:szCs w:val="22"/>
              </w:rPr>
              <w:t>Maternité (y compris congés pathologiques), adoption, paternité et accueil de l’enfant</w:t>
            </w:r>
          </w:p>
        </w:tc>
        <w:tc>
          <w:tcPr>
            <w:tcW w:w="2491" w:type="dxa"/>
            <w:tcBorders>
              <w:left w:val="single" w:sz="4" w:space="0" w:color="000000"/>
              <w:bottom w:val="single" w:sz="4" w:space="0" w:color="auto"/>
              <w:right w:val="single" w:sz="4" w:space="0" w:color="auto"/>
            </w:tcBorders>
            <w:vAlign w:val="center"/>
          </w:tcPr>
          <w:p w14:paraId="04C0DF4E" w14:textId="77777777" w:rsidR="00912729" w:rsidRPr="00FB2680" w:rsidRDefault="00912729" w:rsidP="00F0578D">
            <w:pPr>
              <w:pStyle w:val="NormalRiskpart"/>
              <w:snapToGrid w:val="0"/>
              <w:jc w:val="center"/>
              <w:rPr>
                <w:rFonts w:ascii="Aptos" w:hAnsi="Aptos" w:cstheme="minorHAnsi"/>
                <w:sz w:val="22"/>
                <w:szCs w:val="22"/>
              </w:rPr>
            </w:pPr>
            <w:r w:rsidRPr="00FB2680">
              <w:rPr>
                <w:rFonts w:ascii="Aptos" w:hAnsi="Aptos" w:cstheme="minorHAnsi"/>
                <w:sz w:val="22"/>
                <w:szCs w:val="22"/>
              </w:rPr>
              <w:t>Sans franchise</w:t>
            </w:r>
          </w:p>
        </w:tc>
        <w:tc>
          <w:tcPr>
            <w:tcW w:w="1619" w:type="dxa"/>
            <w:vMerge/>
            <w:tcBorders>
              <w:left w:val="single" w:sz="4" w:space="0" w:color="auto"/>
              <w:right w:val="single" w:sz="4" w:space="0" w:color="auto"/>
            </w:tcBorders>
          </w:tcPr>
          <w:p w14:paraId="7643677C" w14:textId="77777777" w:rsidR="00912729" w:rsidRPr="00FB2680" w:rsidRDefault="00912729" w:rsidP="00F0578D">
            <w:pPr>
              <w:pStyle w:val="Contenudetableau"/>
              <w:snapToGrid w:val="0"/>
              <w:jc w:val="center"/>
              <w:rPr>
                <w:rFonts w:ascii="Aptos" w:hAnsi="Aptos" w:cstheme="minorHAnsi"/>
                <w:sz w:val="22"/>
                <w:szCs w:val="22"/>
              </w:rPr>
            </w:pPr>
          </w:p>
        </w:tc>
      </w:tr>
      <w:tr w:rsidR="00912729" w:rsidRPr="00FB2680" w14:paraId="56CCF3E6" w14:textId="77777777" w:rsidTr="00912729">
        <w:tc>
          <w:tcPr>
            <w:tcW w:w="5589" w:type="dxa"/>
            <w:tcBorders>
              <w:top w:val="single" w:sz="4" w:space="0" w:color="auto"/>
              <w:left w:val="single" w:sz="4" w:space="0" w:color="auto"/>
              <w:bottom w:val="single" w:sz="4" w:space="0" w:color="auto"/>
              <w:right w:val="single" w:sz="4" w:space="0" w:color="auto"/>
            </w:tcBorders>
            <w:vAlign w:val="center"/>
          </w:tcPr>
          <w:p w14:paraId="005CAB52" w14:textId="0F397E06" w:rsidR="00912729" w:rsidRPr="00ED342E" w:rsidRDefault="00F932E2" w:rsidP="00F0578D">
            <w:pPr>
              <w:pStyle w:val="NormalRiskpart"/>
              <w:snapToGrid w:val="0"/>
              <w:jc w:val="left"/>
              <w:rPr>
                <w:rFonts w:asciiTheme="minorHAnsi" w:hAnsiTheme="minorHAnsi" w:cstheme="minorHAnsi"/>
                <w:sz w:val="22"/>
                <w:szCs w:val="22"/>
              </w:rPr>
            </w:pPr>
            <w:r w:rsidRPr="00FB2680">
              <w:rPr>
                <w:rFonts w:ascii="Aptos" w:hAnsi="Aptos" w:cstheme="minorHAnsi"/>
                <w:sz w:val="22"/>
                <w:szCs w:val="22"/>
              </w:rPr>
              <w:t>Maladie ordinaire</w:t>
            </w:r>
          </w:p>
        </w:tc>
        <w:tc>
          <w:tcPr>
            <w:tcW w:w="2491" w:type="dxa"/>
            <w:tcBorders>
              <w:top w:val="single" w:sz="4" w:space="0" w:color="auto"/>
              <w:left w:val="single" w:sz="4" w:space="0" w:color="auto"/>
              <w:bottom w:val="single" w:sz="4" w:space="0" w:color="auto"/>
              <w:right w:val="single" w:sz="4" w:space="0" w:color="auto"/>
            </w:tcBorders>
            <w:vAlign w:val="center"/>
          </w:tcPr>
          <w:p w14:paraId="7E2523AE" w14:textId="08290182" w:rsidR="00912729" w:rsidRPr="00FB2680" w:rsidRDefault="00912729" w:rsidP="00F0578D">
            <w:pPr>
              <w:pStyle w:val="NormalRiskpart"/>
              <w:snapToGrid w:val="0"/>
              <w:jc w:val="center"/>
              <w:rPr>
                <w:rFonts w:ascii="Aptos" w:hAnsi="Aptos" w:cstheme="minorHAnsi"/>
                <w:sz w:val="22"/>
                <w:szCs w:val="22"/>
              </w:rPr>
            </w:pPr>
            <w:r w:rsidRPr="00FB2680">
              <w:rPr>
                <w:rFonts w:ascii="Aptos" w:hAnsi="Aptos" w:cstheme="minorHAnsi"/>
                <w:sz w:val="22"/>
                <w:szCs w:val="22"/>
              </w:rPr>
              <w:t xml:space="preserve">Franchise </w:t>
            </w:r>
            <w:r w:rsidR="006A4DFC">
              <w:rPr>
                <w:rFonts w:ascii="Aptos" w:hAnsi="Aptos" w:cstheme="minorHAnsi"/>
                <w:sz w:val="22"/>
                <w:szCs w:val="22"/>
              </w:rPr>
              <w:t>15</w:t>
            </w:r>
            <w:r w:rsidRPr="00FB2680">
              <w:rPr>
                <w:rFonts w:ascii="Aptos" w:hAnsi="Aptos" w:cstheme="minorHAnsi"/>
                <w:sz w:val="22"/>
                <w:szCs w:val="22"/>
              </w:rPr>
              <w:t xml:space="preserve"> jours consécutifs*</w:t>
            </w:r>
          </w:p>
        </w:tc>
        <w:tc>
          <w:tcPr>
            <w:tcW w:w="1619" w:type="dxa"/>
            <w:vMerge/>
            <w:tcBorders>
              <w:left w:val="single" w:sz="4" w:space="0" w:color="auto"/>
              <w:bottom w:val="single" w:sz="4" w:space="0" w:color="auto"/>
              <w:right w:val="single" w:sz="4" w:space="0" w:color="auto"/>
            </w:tcBorders>
          </w:tcPr>
          <w:p w14:paraId="71D6C192" w14:textId="77777777" w:rsidR="00912729" w:rsidRPr="00FB2680" w:rsidRDefault="00912729" w:rsidP="00F0578D">
            <w:pPr>
              <w:pStyle w:val="Contenudetableau"/>
              <w:snapToGrid w:val="0"/>
              <w:jc w:val="center"/>
              <w:rPr>
                <w:rFonts w:ascii="Aptos" w:hAnsi="Aptos" w:cstheme="minorHAnsi"/>
                <w:sz w:val="22"/>
                <w:szCs w:val="22"/>
              </w:rPr>
            </w:pPr>
          </w:p>
        </w:tc>
      </w:tr>
    </w:tbl>
    <w:bookmarkEnd w:id="1"/>
    <w:p w14:paraId="21DF3958" w14:textId="77777777" w:rsidR="00FB2680" w:rsidRPr="007F54B3" w:rsidRDefault="00FB2680" w:rsidP="00FB2680">
      <w:pPr>
        <w:pStyle w:val="NormalRiskpart"/>
        <w:rPr>
          <w:rFonts w:ascii="Aptos" w:hAnsi="Aptos" w:cstheme="minorHAnsi"/>
          <w:i/>
          <w:iCs/>
          <w:sz w:val="22"/>
          <w:szCs w:val="22"/>
        </w:rPr>
      </w:pPr>
      <w:r w:rsidRPr="007F54B3">
        <w:rPr>
          <w:rFonts w:ascii="Aptos" w:eastAsia="Batang" w:hAnsi="Aptos" w:cstheme="minorHAnsi"/>
          <w:iCs/>
          <w:sz w:val="22"/>
          <w:szCs w:val="22"/>
        </w:rPr>
        <w:t xml:space="preserve">* </w:t>
      </w:r>
      <w:r w:rsidRPr="007F54B3">
        <w:rPr>
          <w:rFonts w:ascii="Aptos" w:eastAsia="Batang" w:hAnsi="Aptos" w:cstheme="minorHAnsi"/>
          <w:i/>
          <w:iCs/>
          <w:sz w:val="22"/>
          <w:szCs w:val="22"/>
        </w:rPr>
        <w:t>l’éventuelle franchise appliquée en maladie ordinaire est définitivement acquise lors d'une requalification en longue maladie ou en maladie longue durée.</w:t>
      </w:r>
    </w:p>
    <w:p w14:paraId="5F6FD54B" w14:textId="77777777" w:rsidR="007E33F6" w:rsidRPr="007F54B3" w:rsidRDefault="007E33F6" w:rsidP="00EC3C63">
      <w:pPr>
        <w:widowControl w:val="0"/>
        <w:tabs>
          <w:tab w:val="left" w:pos="1110"/>
          <w:tab w:val="left" w:pos="9193"/>
        </w:tabs>
        <w:ind w:left="142" w:right="121"/>
        <w:jc w:val="both"/>
        <w:rPr>
          <w:rFonts w:ascii="Aptos" w:hAnsi="Aptos"/>
          <w:bCs/>
          <w:sz w:val="22"/>
          <w:szCs w:val="22"/>
          <w:lang w:eastAsia="en-US"/>
        </w:rPr>
      </w:pPr>
    </w:p>
    <w:p w14:paraId="55A18CF1" w14:textId="122444E3" w:rsidR="00CD0790" w:rsidRPr="009E0CB2" w:rsidRDefault="00C706AA" w:rsidP="009E0CB2">
      <w:pPr>
        <w:widowControl w:val="0"/>
        <w:tabs>
          <w:tab w:val="left" w:pos="1110"/>
          <w:tab w:val="left" w:pos="9193"/>
        </w:tabs>
        <w:ind w:left="142" w:right="121"/>
        <w:jc w:val="both"/>
        <w:rPr>
          <w:rFonts w:ascii="Aptos" w:hAnsi="Aptos"/>
          <w:bCs/>
          <w:sz w:val="22"/>
          <w:szCs w:val="22"/>
          <w:highlight w:val="cyan"/>
          <w:lang w:eastAsia="en-US"/>
        </w:rPr>
      </w:pPr>
      <w:r>
        <w:rPr>
          <w:rFonts w:ascii="Aptos" w:hAnsi="Aptos"/>
          <w:bCs/>
          <w:sz w:val="22"/>
          <w:szCs w:val="22"/>
          <w:highlight w:val="cyan"/>
          <w:lang w:eastAsia="en-US"/>
        </w:rPr>
        <w:t>La collectivité choisi</w:t>
      </w:r>
      <w:r w:rsidR="00E34978">
        <w:rPr>
          <w:rFonts w:ascii="Aptos" w:hAnsi="Aptos"/>
          <w:bCs/>
          <w:sz w:val="22"/>
          <w:szCs w:val="22"/>
          <w:highlight w:val="cyan"/>
          <w:lang w:eastAsia="en-US"/>
        </w:rPr>
        <w:t>t</w:t>
      </w:r>
      <w:r>
        <w:rPr>
          <w:rFonts w:ascii="Aptos" w:hAnsi="Aptos"/>
          <w:bCs/>
          <w:sz w:val="22"/>
          <w:szCs w:val="22"/>
          <w:highlight w:val="cyan"/>
          <w:lang w:eastAsia="en-US"/>
        </w:rPr>
        <w:t xml:space="preserve"> entre l’option 1 ou l’option 2</w:t>
      </w:r>
    </w:p>
    <w:p w14:paraId="36A55F46" w14:textId="77777777" w:rsidR="00CD0790" w:rsidRPr="007F54B3" w:rsidRDefault="00CD0790" w:rsidP="00CD0790">
      <w:pPr>
        <w:pStyle w:val="Paragraphedeliste"/>
        <w:widowControl w:val="0"/>
        <w:tabs>
          <w:tab w:val="left" w:pos="1110"/>
          <w:tab w:val="left" w:pos="9193"/>
        </w:tabs>
        <w:suppressAutoHyphens w:val="0"/>
        <w:ind w:left="426" w:right="121"/>
        <w:jc w:val="both"/>
        <w:rPr>
          <w:rFonts w:ascii="Aptos" w:hAnsi="Aptos"/>
          <w:bCs/>
          <w:sz w:val="22"/>
          <w:szCs w:val="22"/>
          <w:highlight w:val="yellow"/>
          <w:lang w:eastAsia="en-US"/>
        </w:rPr>
      </w:pPr>
    </w:p>
    <w:p w14:paraId="0AC7D28E" w14:textId="53288C77" w:rsidR="00EC3C63" w:rsidRPr="007F54B3" w:rsidRDefault="00CF19E5" w:rsidP="00CB201B">
      <w:pPr>
        <w:pStyle w:val="Paragraphedeliste"/>
        <w:widowControl w:val="0"/>
        <w:numPr>
          <w:ilvl w:val="0"/>
          <w:numId w:val="18"/>
        </w:numPr>
        <w:tabs>
          <w:tab w:val="left" w:pos="1110"/>
          <w:tab w:val="left" w:pos="9193"/>
        </w:tabs>
        <w:suppressAutoHyphens w:val="0"/>
        <w:ind w:left="426" w:right="121"/>
        <w:jc w:val="both"/>
        <w:rPr>
          <w:rFonts w:ascii="Aptos" w:hAnsi="Aptos"/>
          <w:bCs/>
          <w:sz w:val="22"/>
          <w:szCs w:val="22"/>
          <w:highlight w:val="yellow"/>
          <w:lang w:eastAsia="en-US"/>
        </w:rPr>
      </w:pPr>
      <w:r w:rsidRPr="007F54B3">
        <w:rPr>
          <w:rFonts w:ascii="Aptos" w:hAnsi="Aptos"/>
          <w:bCs/>
          <w:sz w:val="22"/>
          <w:szCs w:val="22"/>
          <w:highlight w:val="yellow"/>
          <w:lang w:eastAsia="en-US"/>
        </w:rPr>
        <w:t xml:space="preserve">Le cas échéant : </w:t>
      </w:r>
      <w:r w:rsidR="00EC3C63" w:rsidRPr="007F54B3">
        <w:rPr>
          <w:rFonts w:ascii="Aptos" w:hAnsi="Aptos"/>
          <w:bCs/>
          <w:sz w:val="22"/>
          <w:szCs w:val="22"/>
          <w:highlight w:val="yellow"/>
          <w:lang w:eastAsia="en-US"/>
        </w:rPr>
        <w:t>En option</w:t>
      </w:r>
      <w:r w:rsidRPr="007F54B3">
        <w:rPr>
          <w:rFonts w:ascii="Aptos" w:hAnsi="Aptos"/>
          <w:bCs/>
          <w:sz w:val="22"/>
          <w:szCs w:val="22"/>
          <w:highlight w:val="yellow"/>
          <w:lang w:eastAsia="en-US"/>
        </w:rPr>
        <w:t>,</w:t>
      </w:r>
      <w:r w:rsidR="00EC3C63" w:rsidRPr="007F54B3">
        <w:rPr>
          <w:rFonts w:ascii="Aptos" w:hAnsi="Aptos"/>
          <w:bCs/>
          <w:sz w:val="22"/>
          <w:szCs w:val="22"/>
          <w:highlight w:val="yellow"/>
          <w:lang w:eastAsia="en-US"/>
        </w:rPr>
        <w:t xml:space="preserve"> </w:t>
      </w:r>
      <w:r w:rsidR="00EC3C63" w:rsidRPr="007F54B3">
        <w:rPr>
          <w:rFonts w:ascii="Aptos" w:hAnsi="Aptos"/>
          <w:bCs/>
          <w:sz w:val="22"/>
          <w:szCs w:val="22"/>
          <w:highlight w:val="cyan"/>
          <w:lang w:eastAsia="en-US"/>
        </w:rPr>
        <w:t xml:space="preserve">la commune / l’établissement </w:t>
      </w:r>
      <w:r w:rsidR="00EC3C63" w:rsidRPr="007F54B3">
        <w:rPr>
          <w:rFonts w:ascii="Aptos" w:hAnsi="Aptos"/>
          <w:bCs/>
          <w:sz w:val="22"/>
          <w:szCs w:val="22"/>
          <w:highlight w:val="yellow"/>
          <w:lang w:eastAsia="en-US"/>
        </w:rPr>
        <w:t>souhaite garantir les risques financier</w:t>
      </w:r>
      <w:r w:rsidR="00F2565C" w:rsidRPr="007F54B3">
        <w:rPr>
          <w:rFonts w:ascii="Aptos" w:hAnsi="Aptos"/>
          <w:bCs/>
          <w:sz w:val="22"/>
          <w:szCs w:val="22"/>
          <w:highlight w:val="yellow"/>
          <w:lang w:eastAsia="en-US"/>
        </w:rPr>
        <w:t xml:space="preserve">s </w:t>
      </w:r>
      <w:r w:rsidR="00EC3C63" w:rsidRPr="007F54B3">
        <w:rPr>
          <w:rFonts w:ascii="Aptos" w:hAnsi="Aptos"/>
          <w:bCs/>
          <w:sz w:val="22"/>
          <w:szCs w:val="22"/>
          <w:highlight w:val="yellow"/>
          <w:lang w:eastAsia="en-US"/>
        </w:rPr>
        <w:t>découlant de l’indisponibilité des agents relevant du régime général et affiliés à l’Ircantec</w:t>
      </w:r>
      <w:r w:rsidR="00CB201B" w:rsidRPr="007F54B3">
        <w:rPr>
          <w:rFonts w:ascii="Aptos" w:hAnsi="Aptos"/>
          <w:bCs/>
          <w:sz w:val="22"/>
          <w:szCs w:val="22"/>
          <w:highlight w:val="yellow"/>
          <w:lang w:eastAsia="en-US"/>
        </w:rPr>
        <w:t> :</w:t>
      </w:r>
    </w:p>
    <w:p w14:paraId="2EE544EA" w14:textId="77777777" w:rsidR="00EC3C63" w:rsidRPr="007F54B3" w:rsidRDefault="00EC3C63" w:rsidP="009E0CB2">
      <w:pPr>
        <w:widowControl w:val="0"/>
        <w:tabs>
          <w:tab w:val="left" w:pos="1110"/>
          <w:tab w:val="left" w:pos="9193"/>
        </w:tabs>
        <w:ind w:right="121"/>
        <w:jc w:val="both"/>
        <w:rPr>
          <w:rFonts w:ascii="Aptos" w:hAnsi="Aptos"/>
          <w:bCs/>
          <w:sz w:val="22"/>
          <w:szCs w:val="22"/>
          <w:lang w:eastAsia="en-US"/>
        </w:rPr>
      </w:pPr>
    </w:p>
    <w:tbl>
      <w:tblPr>
        <w:tblStyle w:val="Grilledutableau"/>
        <w:tblW w:w="9681" w:type="dxa"/>
        <w:tblInd w:w="-5" w:type="dxa"/>
        <w:tblLook w:val="04A0" w:firstRow="1" w:lastRow="0" w:firstColumn="1" w:lastColumn="0" w:noHBand="0" w:noVBand="1"/>
      </w:tblPr>
      <w:tblGrid>
        <w:gridCol w:w="3476"/>
        <w:gridCol w:w="6205"/>
      </w:tblGrid>
      <w:tr w:rsidR="0094057E" w:rsidRPr="007F54B3" w14:paraId="5A76A145" w14:textId="77777777" w:rsidTr="004867AA">
        <w:trPr>
          <w:trHeight w:val="515"/>
        </w:trPr>
        <w:tc>
          <w:tcPr>
            <w:tcW w:w="9681" w:type="dxa"/>
            <w:gridSpan w:val="2"/>
            <w:shd w:val="clear" w:color="auto" w:fill="D9D9D9" w:themeFill="background1" w:themeFillShade="D9"/>
            <w:vAlign w:val="center"/>
          </w:tcPr>
          <w:p w14:paraId="6CECFB6E" w14:textId="7113E6A0" w:rsidR="0094057E" w:rsidRPr="007F54B3" w:rsidRDefault="001923C1" w:rsidP="00200484">
            <w:pPr>
              <w:widowControl w:val="0"/>
              <w:tabs>
                <w:tab w:val="left" w:pos="1110"/>
                <w:tab w:val="left" w:pos="9193"/>
              </w:tabs>
              <w:ind w:right="121"/>
              <w:jc w:val="center"/>
              <w:rPr>
                <w:rFonts w:ascii="Aptos" w:hAnsi="Aptos"/>
                <w:b/>
                <w:sz w:val="22"/>
                <w:szCs w:val="22"/>
                <w:lang w:eastAsia="en-US"/>
              </w:rPr>
            </w:pPr>
            <w:r w:rsidRPr="007F54B3">
              <w:rPr>
                <w:rFonts w:ascii="Aptos" w:hAnsi="Aptos"/>
                <w:b/>
                <w:sz w:val="22"/>
                <w:szCs w:val="22"/>
                <w:lang w:eastAsia="en-US"/>
              </w:rPr>
              <w:t xml:space="preserve">Garanties </w:t>
            </w:r>
            <w:r w:rsidR="004A6BEA" w:rsidRPr="007F54B3">
              <w:rPr>
                <w:rFonts w:ascii="Aptos" w:hAnsi="Aptos"/>
                <w:b/>
                <w:sz w:val="22"/>
                <w:szCs w:val="22"/>
                <w:lang w:eastAsia="en-US"/>
              </w:rPr>
              <w:t>pour les agents</w:t>
            </w:r>
            <w:r w:rsidR="0094057E" w:rsidRPr="007F54B3">
              <w:rPr>
                <w:rFonts w:ascii="Aptos" w:hAnsi="Aptos"/>
                <w:b/>
                <w:sz w:val="22"/>
                <w:szCs w:val="22"/>
                <w:lang w:eastAsia="en-US"/>
              </w:rPr>
              <w:t xml:space="preserve"> (titulaires ou stagiaires) affiliés </w:t>
            </w:r>
            <w:r w:rsidR="00B70516" w:rsidRPr="007F54B3">
              <w:rPr>
                <w:rFonts w:ascii="Aptos" w:hAnsi="Aptos"/>
                <w:b/>
                <w:sz w:val="22"/>
                <w:szCs w:val="22"/>
                <w:lang w:eastAsia="en-US"/>
              </w:rPr>
              <w:t>IRCANTEC</w:t>
            </w:r>
          </w:p>
        </w:tc>
      </w:tr>
      <w:tr w:rsidR="0094057E" w:rsidRPr="007F54B3" w14:paraId="16C2728C" w14:textId="77777777" w:rsidTr="004867AA">
        <w:trPr>
          <w:trHeight w:val="681"/>
        </w:trPr>
        <w:tc>
          <w:tcPr>
            <w:tcW w:w="3476" w:type="dxa"/>
            <w:vAlign w:val="center"/>
          </w:tcPr>
          <w:p w14:paraId="1415CD14" w14:textId="77777777" w:rsidR="0094057E" w:rsidRPr="007F54B3" w:rsidRDefault="0094057E" w:rsidP="00200484">
            <w:pPr>
              <w:widowControl w:val="0"/>
              <w:tabs>
                <w:tab w:val="left" w:pos="1110"/>
                <w:tab w:val="left" w:pos="9193"/>
              </w:tabs>
              <w:ind w:right="121"/>
              <w:rPr>
                <w:rFonts w:ascii="Aptos" w:hAnsi="Aptos"/>
                <w:b/>
                <w:sz w:val="22"/>
                <w:szCs w:val="22"/>
                <w:lang w:eastAsia="en-US"/>
              </w:rPr>
            </w:pPr>
            <w:r w:rsidRPr="007F54B3">
              <w:rPr>
                <w:rFonts w:ascii="Aptos" w:hAnsi="Aptos"/>
                <w:bCs/>
                <w:sz w:val="22"/>
                <w:szCs w:val="22"/>
                <w:u w:val="single"/>
                <w:lang w:eastAsia="en-US"/>
              </w:rPr>
              <w:t>Conditions :</w:t>
            </w:r>
          </w:p>
        </w:tc>
        <w:tc>
          <w:tcPr>
            <w:tcW w:w="6204" w:type="dxa"/>
            <w:vAlign w:val="center"/>
          </w:tcPr>
          <w:p w14:paraId="23693928" w14:textId="77777777" w:rsidR="0094057E" w:rsidRPr="007F54B3" w:rsidRDefault="0094057E" w:rsidP="00200484">
            <w:pPr>
              <w:widowControl w:val="0"/>
              <w:tabs>
                <w:tab w:val="left" w:pos="1110"/>
                <w:tab w:val="left" w:pos="9193"/>
              </w:tabs>
              <w:ind w:right="121"/>
              <w:jc w:val="center"/>
              <w:rPr>
                <w:rFonts w:ascii="Aptos" w:hAnsi="Aptos"/>
                <w:b/>
                <w:sz w:val="22"/>
                <w:szCs w:val="22"/>
                <w:lang w:eastAsia="en-US"/>
              </w:rPr>
            </w:pPr>
            <w:r w:rsidRPr="007F54B3">
              <w:rPr>
                <w:rFonts w:ascii="Aptos" w:hAnsi="Aptos"/>
                <w:bCs/>
                <w:sz w:val="22"/>
                <w:szCs w:val="22"/>
                <w:lang w:eastAsia="en-US"/>
              </w:rPr>
              <w:t>Garanties indemnités journalières (IJ) 100%</w:t>
            </w:r>
          </w:p>
        </w:tc>
      </w:tr>
      <w:tr w:rsidR="00963799" w:rsidRPr="007F54B3" w14:paraId="45E0C930" w14:textId="77777777" w:rsidTr="004867AA">
        <w:trPr>
          <w:trHeight w:val="600"/>
        </w:trPr>
        <w:tc>
          <w:tcPr>
            <w:tcW w:w="3476" w:type="dxa"/>
            <w:vAlign w:val="center"/>
          </w:tcPr>
          <w:p w14:paraId="3CB1357C" w14:textId="77777777" w:rsidR="00963799" w:rsidRPr="007F54B3" w:rsidRDefault="00963799" w:rsidP="00200484">
            <w:pPr>
              <w:widowControl w:val="0"/>
              <w:tabs>
                <w:tab w:val="left" w:pos="1110"/>
                <w:tab w:val="left" w:pos="9193"/>
              </w:tabs>
              <w:spacing w:line="276" w:lineRule="auto"/>
              <w:ind w:right="121"/>
              <w:rPr>
                <w:rFonts w:ascii="Aptos" w:hAnsi="Aptos"/>
                <w:bCs/>
                <w:sz w:val="22"/>
                <w:szCs w:val="22"/>
                <w:u w:val="single"/>
                <w:lang w:eastAsia="en-US"/>
              </w:rPr>
            </w:pPr>
            <w:r w:rsidRPr="007F54B3">
              <w:rPr>
                <w:rFonts w:ascii="Aptos" w:hAnsi="Aptos"/>
                <w:bCs/>
                <w:sz w:val="22"/>
                <w:szCs w:val="22"/>
                <w:u w:val="single"/>
                <w:lang w:eastAsia="en-US"/>
              </w:rPr>
              <w:t xml:space="preserve">Risques garantis : </w:t>
            </w:r>
          </w:p>
          <w:p w14:paraId="755D9A9A" w14:textId="77777777" w:rsidR="00963799" w:rsidRPr="007F54B3" w:rsidRDefault="00963799" w:rsidP="00200484">
            <w:pPr>
              <w:pStyle w:val="Paragraphedeliste"/>
              <w:widowControl w:val="0"/>
              <w:tabs>
                <w:tab w:val="left" w:pos="1110"/>
                <w:tab w:val="left" w:pos="9193"/>
              </w:tabs>
              <w:suppressAutoHyphens w:val="0"/>
              <w:spacing w:line="276" w:lineRule="auto"/>
              <w:ind w:left="309" w:right="121"/>
              <w:rPr>
                <w:rFonts w:ascii="Aptos" w:hAnsi="Aptos"/>
                <w:bCs/>
                <w:sz w:val="22"/>
                <w:szCs w:val="22"/>
                <w:lang w:eastAsia="en-US"/>
              </w:rPr>
            </w:pPr>
          </w:p>
        </w:tc>
        <w:tc>
          <w:tcPr>
            <w:tcW w:w="6204" w:type="dxa"/>
            <w:vAlign w:val="center"/>
          </w:tcPr>
          <w:p w14:paraId="23010DDE" w14:textId="14D791E6" w:rsidR="00963799" w:rsidRPr="007F54B3" w:rsidRDefault="00963799" w:rsidP="00200484">
            <w:pPr>
              <w:widowControl w:val="0"/>
              <w:tabs>
                <w:tab w:val="left" w:pos="1110"/>
                <w:tab w:val="left" w:pos="9193"/>
              </w:tabs>
              <w:spacing w:line="276" w:lineRule="auto"/>
              <w:ind w:right="121"/>
              <w:rPr>
                <w:rFonts w:ascii="Aptos" w:hAnsi="Aptos"/>
                <w:bCs/>
                <w:sz w:val="22"/>
                <w:szCs w:val="22"/>
                <w:lang w:eastAsia="en-US"/>
              </w:rPr>
            </w:pPr>
            <w:r w:rsidRPr="007F54B3">
              <w:rPr>
                <w:rFonts w:ascii="Aptos" w:hAnsi="Aptos"/>
                <w:bCs/>
                <w:sz w:val="22"/>
                <w:szCs w:val="22"/>
                <w:lang w:eastAsia="en-US"/>
              </w:rPr>
              <w:t>CITIS / Maladie Professionnelle (sans franchise), Grave maladie, (sans franchise), Maternité/Paternité/Adoption (sans franchise), Maladie ordinaire (franchise de 1</w:t>
            </w:r>
            <w:r w:rsidR="00646F80">
              <w:rPr>
                <w:rFonts w:ascii="Aptos" w:hAnsi="Aptos"/>
                <w:bCs/>
                <w:sz w:val="22"/>
                <w:szCs w:val="22"/>
                <w:lang w:eastAsia="en-US"/>
              </w:rPr>
              <w:t>0</w:t>
            </w:r>
            <w:r w:rsidRPr="007F54B3">
              <w:rPr>
                <w:rFonts w:ascii="Aptos" w:hAnsi="Aptos"/>
                <w:bCs/>
                <w:sz w:val="22"/>
                <w:szCs w:val="22"/>
                <w:lang w:eastAsia="en-US"/>
              </w:rPr>
              <w:t xml:space="preserve"> jours consécutifs par arrêt de maladie ordinaire)*</w:t>
            </w:r>
          </w:p>
        </w:tc>
      </w:tr>
      <w:tr w:rsidR="00963799" w:rsidRPr="007F54B3" w14:paraId="50F03B17" w14:textId="77777777" w:rsidTr="004867AA">
        <w:trPr>
          <w:trHeight w:val="600"/>
        </w:trPr>
        <w:tc>
          <w:tcPr>
            <w:tcW w:w="3476" w:type="dxa"/>
            <w:vAlign w:val="center"/>
          </w:tcPr>
          <w:p w14:paraId="47E1B13C" w14:textId="49BCF018" w:rsidR="00963799" w:rsidRPr="007F54B3" w:rsidRDefault="00963799" w:rsidP="00200484">
            <w:pPr>
              <w:widowControl w:val="0"/>
              <w:tabs>
                <w:tab w:val="left" w:pos="1110"/>
                <w:tab w:val="left" w:pos="9193"/>
              </w:tabs>
              <w:spacing w:line="276" w:lineRule="auto"/>
              <w:ind w:right="121"/>
              <w:rPr>
                <w:rFonts w:ascii="Aptos" w:hAnsi="Aptos"/>
                <w:bCs/>
                <w:sz w:val="22"/>
                <w:szCs w:val="22"/>
                <w:u w:val="single"/>
                <w:lang w:eastAsia="en-US"/>
              </w:rPr>
            </w:pPr>
            <w:r w:rsidRPr="007F54B3">
              <w:rPr>
                <w:rFonts w:ascii="Aptos" w:eastAsia="Calibri" w:hAnsi="Aptos"/>
                <w:color w:val="000000"/>
                <w:sz w:val="22"/>
                <w:szCs w:val="22"/>
              </w:rPr>
              <w:t>Taux de cotisation (en %) :</w:t>
            </w:r>
          </w:p>
        </w:tc>
        <w:tc>
          <w:tcPr>
            <w:tcW w:w="6204" w:type="dxa"/>
            <w:vAlign w:val="center"/>
          </w:tcPr>
          <w:p w14:paraId="3859326C" w14:textId="4FBE433E" w:rsidR="00963799" w:rsidRPr="00D41A79" w:rsidRDefault="00583E63" w:rsidP="00200484">
            <w:pPr>
              <w:widowControl w:val="0"/>
              <w:tabs>
                <w:tab w:val="left" w:pos="1110"/>
                <w:tab w:val="left" w:pos="9193"/>
              </w:tabs>
              <w:spacing w:line="276" w:lineRule="auto"/>
              <w:ind w:right="121"/>
              <w:rPr>
                <w:rFonts w:ascii="Aptos" w:hAnsi="Aptos"/>
                <w:b/>
                <w:sz w:val="22"/>
                <w:szCs w:val="22"/>
                <w:lang w:eastAsia="en-US"/>
              </w:rPr>
            </w:pPr>
            <w:r>
              <w:rPr>
                <w:rFonts w:ascii="Aptos" w:hAnsi="Aptos"/>
                <w:b/>
                <w:sz w:val="22"/>
                <w:szCs w:val="22"/>
                <w:lang w:eastAsia="en-US"/>
              </w:rPr>
              <w:t>1</w:t>
            </w:r>
            <w:r w:rsidR="002B028A" w:rsidRPr="00D41A79">
              <w:rPr>
                <w:rFonts w:ascii="Aptos" w:hAnsi="Aptos"/>
                <w:b/>
                <w:sz w:val="22"/>
                <w:szCs w:val="22"/>
                <w:lang w:eastAsia="en-US"/>
              </w:rPr>
              <w:t>.</w:t>
            </w:r>
            <w:r>
              <w:rPr>
                <w:rFonts w:ascii="Aptos" w:hAnsi="Aptos"/>
                <w:b/>
                <w:sz w:val="22"/>
                <w:szCs w:val="22"/>
                <w:lang w:eastAsia="en-US"/>
              </w:rPr>
              <w:t>50</w:t>
            </w:r>
            <w:r w:rsidR="00963799" w:rsidRPr="00D41A79">
              <w:rPr>
                <w:rFonts w:ascii="Aptos" w:hAnsi="Aptos"/>
                <w:b/>
                <w:sz w:val="22"/>
                <w:szCs w:val="22"/>
                <w:lang w:eastAsia="en-US"/>
              </w:rPr>
              <w:t xml:space="preserve"> %</w:t>
            </w:r>
          </w:p>
        </w:tc>
      </w:tr>
    </w:tbl>
    <w:p w14:paraId="3720C9F1" w14:textId="77777777" w:rsidR="00CB201B" w:rsidRPr="007F54B3" w:rsidRDefault="00CB201B" w:rsidP="00EC3C63">
      <w:pPr>
        <w:widowControl w:val="0"/>
        <w:tabs>
          <w:tab w:val="left" w:pos="1110"/>
          <w:tab w:val="left" w:pos="9193"/>
        </w:tabs>
        <w:ind w:left="142" w:right="121"/>
        <w:jc w:val="both"/>
        <w:rPr>
          <w:rFonts w:ascii="Aptos" w:hAnsi="Aptos"/>
          <w:bCs/>
          <w:sz w:val="22"/>
          <w:szCs w:val="22"/>
          <w:lang w:eastAsia="en-US"/>
        </w:rPr>
      </w:pPr>
    </w:p>
    <w:p w14:paraId="624A3037" w14:textId="64EB5203" w:rsidR="00CD0790" w:rsidRPr="00E2364D" w:rsidRDefault="00126060" w:rsidP="00E2364D">
      <w:pPr>
        <w:pStyle w:val="NormalRiskpart"/>
        <w:jc w:val="left"/>
        <w:rPr>
          <w:rFonts w:ascii="Aptos" w:eastAsia="Batang" w:hAnsi="Aptos" w:cstheme="minorHAnsi"/>
          <w:i/>
          <w:iCs/>
          <w:sz w:val="22"/>
          <w:szCs w:val="22"/>
        </w:rPr>
      </w:pPr>
      <w:r w:rsidRPr="007F54B3">
        <w:rPr>
          <w:rFonts w:ascii="Aptos" w:eastAsia="Batang" w:hAnsi="Aptos" w:cstheme="minorHAnsi"/>
          <w:iCs/>
          <w:sz w:val="22"/>
          <w:szCs w:val="22"/>
        </w:rPr>
        <w:t xml:space="preserve">* </w:t>
      </w:r>
      <w:r w:rsidRPr="007F54B3">
        <w:rPr>
          <w:rFonts w:ascii="Aptos" w:eastAsia="Batang" w:hAnsi="Aptos" w:cstheme="minorHAnsi"/>
          <w:i/>
          <w:iCs/>
          <w:sz w:val="22"/>
          <w:szCs w:val="22"/>
        </w:rPr>
        <w:t>la franchise appliquée en maladie ordinaire est définitivement acquise lors d'une requalification en grave maladie.</w:t>
      </w:r>
    </w:p>
    <w:p w14:paraId="5C56FC42" w14:textId="77777777" w:rsidR="00EC3C63" w:rsidRPr="007F54B3" w:rsidRDefault="00EC3C63" w:rsidP="00EC3C63">
      <w:pPr>
        <w:widowControl w:val="0"/>
        <w:tabs>
          <w:tab w:val="left" w:pos="1110"/>
          <w:tab w:val="left" w:pos="9193"/>
        </w:tabs>
        <w:ind w:left="142" w:right="121"/>
        <w:jc w:val="both"/>
        <w:rPr>
          <w:rFonts w:ascii="Aptos" w:hAnsi="Aptos"/>
          <w:bCs/>
          <w:sz w:val="22"/>
          <w:szCs w:val="22"/>
          <w:lang w:eastAsia="en-US"/>
        </w:rPr>
      </w:pPr>
    </w:p>
    <w:p w14:paraId="0B93FE00" w14:textId="22143BD6" w:rsidR="00F82D49" w:rsidRPr="007F54B3" w:rsidRDefault="00F82D49" w:rsidP="00DB2723">
      <w:pPr>
        <w:pStyle w:val="Paragraphedeliste"/>
        <w:widowControl w:val="0"/>
        <w:numPr>
          <w:ilvl w:val="0"/>
          <w:numId w:val="21"/>
        </w:numPr>
        <w:tabs>
          <w:tab w:val="left" w:pos="1110"/>
          <w:tab w:val="left" w:pos="9193"/>
        </w:tabs>
        <w:ind w:right="121"/>
        <w:jc w:val="both"/>
        <w:rPr>
          <w:rFonts w:ascii="Aptos" w:eastAsia="Calibri" w:hAnsi="Aptos"/>
          <w:b/>
          <w:bCs/>
          <w:color w:val="000000"/>
          <w:sz w:val="22"/>
          <w:szCs w:val="22"/>
          <w:u w:val="single"/>
        </w:rPr>
      </w:pPr>
      <w:r w:rsidRPr="007F54B3">
        <w:rPr>
          <w:rFonts w:ascii="Aptos" w:eastAsia="Calibri" w:hAnsi="Aptos"/>
          <w:b/>
          <w:bCs/>
          <w:color w:val="000000"/>
          <w:sz w:val="22"/>
          <w:szCs w:val="22"/>
          <w:u w:val="single"/>
        </w:rPr>
        <w:t>ARTICLE 2 - d’accepter les frais liés au pilotage du contrat groupe :</w:t>
      </w:r>
    </w:p>
    <w:p w14:paraId="2E2F588F" w14:textId="77777777" w:rsidR="00CD0790" w:rsidRPr="007F54B3" w:rsidRDefault="00CD0790" w:rsidP="00CD0790">
      <w:pPr>
        <w:widowControl w:val="0"/>
        <w:tabs>
          <w:tab w:val="left" w:pos="1110"/>
          <w:tab w:val="left" w:pos="9193"/>
        </w:tabs>
        <w:ind w:right="121"/>
        <w:jc w:val="both"/>
        <w:rPr>
          <w:rFonts w:ascii="Aptos" w:hAnsi="Aptos"/>
          <w:bCs/>
          <w:sz w:val="22"/>
          <w:szCs w:val="22"/>
          <w:highlight w:val="cyan"/>
          <w:lang w:eastAsia="en-US"/>
        </w:rPr>
      </w:pPr>
    </w:p>
    <w:p w14:paraId="065D05BE" w14:textId="68A36725" w:rsidR="00CD0790" w:rsidRPr="007F54B3" w:rsidRDefault="00CD0790" w:rsidP="00CD0790">
      <w:pPr>
        <w:widowControl w:val="0"/>
        <w:tabs>
          <w:tab w:val="left" w:pos="1110"/>
          <w:tab w:val="left" w:pos="9193"/>
        </w:tabs>
        <w:ind w:right="121"/>
        <w:jc w:val="both"/>
        <w:rPr>
          <w:rFonts w:ascii="Aptos" w:hAnsi="Aptos"/>
          <w:bCs/>
          <w:sz w:val="22"/>
          <w:szCs w:val="22"/>
          <w:lang w:eastAsia="en-US"/>
        </w:rPr>
      </w:pPr>
      <w:r w:rsidRPr="007F54B3">
        <w:rPr>
          <w:rFonts w:ascii="Aptos" w:hAnsi="Aptos"/>
          <w:bCs/>
          <w:sz w:val="22"/>
          <w:szCs w:val="22"/>
          <w:highlight w:val="cyan"/>
          <w:lang w:eastAsia="en-US"/>
        </w:rPr>
        <w:t>La commune / l’établissement</w:t>
      </w:r>
      <w:r w:rsidRPr="007F54B3">
        <w:rPr>
          <w:rFonts w:ascii="Aptos" w:hAnsi="Aptos"/>
          <w:bCs/>
          <w:sz w:val="22"/>
          <w:szCs w:val="22"/>
          <w:lang w:eastAsia="en-US"/>
        </w:rPr>
        <w:t xml:space="preserve"> participe aux frais d’intervention du </w:t>
      </w:r>
      <w:r w:rsidR="00DE322D">
        <w:rPr>
          <w:rFonts w:ascii="Aptos" w:hAnsi="Aptos"/>
          <w:bCs/>
          <w:sz w:val="22"/>
          <w:szCs w:val="22"/>
          <w:lang w:eastAsia="en-US"/>
        </w:rPr>
        <w:t>c</w:t>
      </w:r>
      <w:r w:rsidRPr="007F54B3">
        <w:rPr>
          <w:rFonts w:ascii="Aptos" w:hAnsi="Aptos"/>
          <w:bCs/>
          <w:sz w:val="22"/>
          <w:szCs w:val="22"/>
          <w:lang w:eastAsia="en-US"/>
        </w:rPr>
        <w:t xml:space="preserve">entre </w:t>
      </w:r>
      <w:r w:rsidR="00DE322D">
        <w:rPr>
          <w:rFonts w:ascii="Aptos" w:hAnsi="Aptos"/>
          <w:bCs/>
          <w:sz w:val="22"/>
          <w:szCs w:val="22"/>
          <w:lang w:eastAsia="en-US"/>
        </w:rPr>
        <w:t>d</w:t>
      </w:r>
      <w:r w:rsidRPr="007F54B3">
        <w:rPr>
          <w:rFonts w:ascii="Aptos" w:hAnsi="Aptos"/>
          <w:bCs/>
          <w:sz w:val="22"/>
          <w:szCs w:val="22"/>
          <w:lang w:eastAsia="en-US"/>
        </w:rPr>
        <w:t xml:space="preserve">e </w:t>
      </w:r>
      <w:r w:rsidR="00DE322D">
        <w:rPr>
          <w:rFonts w:ascii="Aptos" w:hAnsi="Aptos"/>
          <w:bCs/>
          <w:sz w:val="22"/>
          <w:szCs w:val="22"/>
          <w:lang w:eastAsia="en-US"/>
        </w:rPr>
        <w:t>g</w:t>
      </w:r>
      <w:r w:rsidRPr="007F54B3">
        <w:rPr>
          <w:rFonts w:ascii="Aptos" w:hAnsi="Aptos"/>
          <w:bCs/>
          <w:sz w:val="22"/>
          <w:szCs w:val="22"/>
          <w:lang w:eastAsia="en-US"/>
        </w:rPr>
        <w:t xml:space="preserve">estion de la </w:t>
      </w:r>
      <w:r w:rsidR="00DE322D">
        <w:rPr>
          <w:rFonts w:ascii="Aptos" w:hAnsi="Aptos"/>
          <w:bCs/>
          <w:sz w:val="22"/>
          <w:szCs w:val="22"/>
          <w:lang w:eastAsia="en-US"/>
        </w:rPr>
        <w:t>f</w:t>
      </w:r>
      <w:r w:rsidRPr="007F54B3">
        <w:rPr>
          <w:rFonts w:ascii="Aptos" w:hAnsi="Aptos"/>
          <w:bCs/>
          <w:sz w:val="22"/>
          <w:szCs w:val="22"/>
          <w:lang w:eastAsia="en-US"/>
        </w:rPr>
        <w:t xml:space="preserve">onction </w:t>
      </w:r>
      <w:r w:rsidR="00DE322D">
        <w:rPr>
          <w:rFonts w:ascii="Aptos" w:hAnsi="Aptos"/>
          <w:bCs/>
          <w:sz w:val="22"/>
          <w:szCs w:val="22"/>
          <w:lang w:eastAsia="en-US"/>
        </w:rPr>
        <w:t>p</w:t>
      </w:r>
      <w:r w:rsidRPr="007F54B3">
        <w:rPr>
          <w:rFonts w:ascii="Aptos" w:hAnsi="Aptos"/>
          <w:bCs/>
          <w:sz w:val="22"/>
          <w:szCs w:val="22"/>
          <w:lang w:eastAsia="en-US"/>
        </w:rPr>
        <w:t xml:space="preserve">ublique </w:t>
      </w:r>
      <w:r w:rsidR="00DE322D">
        <w:rPr>
          <w:rFonts w:ascii="Aptos" w:hAnsi="Aptos"/>
          <w:bCs/>
          <w:sz w:val="22"/>
          <w:szCs w:val="22"/>
          <w:lang w:eastAsia="en-US"/>
        </w:rPr>
        <w:t>t</w:t>
      </w:r>
      <w:r w:rsidRPr="007F54B3">
        <w:rPr>
          <w:rFonts w:ascii="Aptos" w:hAnsi="Aptos"/>
          <w:bCs/>
          <w:sz w:val="22"/>
          <w:szCs w:val="22"/>
          <w:lang w:eastAsia="en-US"/>
        </w:rPr>
        <w:t xml:space="preserve">erritoriale de </w:t>
      </w:r>
      <w:r w:rsidR="00AA6CE2">
        <w:rPr>
          <w:rFonts w:ascii="Aptos" w:hAnsi="Aptos"/>
          <w:bCs/>
          <w:sz w:val="22"/>
          <w:szCs w:val="22"/>
          <w:lang w:eastAsia="en-US"/>
        </w:rPr>
        <w:t>la Nièvre</w:t>
      </w:r>
      <w:r w:rsidRPr="007F54B3">
        <w:rPr>
          <w:rFonts w:ascii="Aptos" w:hAnsi="Aptos"/>
          <w:bCs/>
          <w:sz w:val="22"/>
          <w:szCs w:val="22"/>
          <w:lang w:eastAsia="en-US"/>
        </w:rPr>
        <w:t xml:space="preserve"> à raison de la masse salariale déclarée chaque année auprès du prestataire d’assurances. Cette participation est fixée </w:t>
      </w:r>
      <w:r w:rsidRPr="00ED1F67">
        <w:rPr>
          <w:rFonts w:ascii="Aptos" w:hAnsi="Aptos"/>
          <w:bCs/>
          <w:sz w:val="22"/>
          <w:szCs w:val="22"/>
          <w:lang w:eastAsia="en-US"/>
        </w:rPr>
        <w:t xml:space="preserve">à </w:t>
      </w:r>
      <w:r w:rsidR="00ED1F67">
        <w:rPr>
          <w:rFonts w:ascii="Aptos" w:hAnsi="Aptos"/>
          <w:bCs/>
          <w:sz w:val="22"/>
          <w:szCs w:val="22"/>
          <w:lang w:eastAsia="en-US"/>
        </w:rPr>
        <w:t xml:space="preserve">6 </w:t>
      </w:r>
      <w:r w:rsidRPr="00ED1F67">
        <w:rPr>
          <w:rFonts w:ascii="Aptos" w:hAnsi="Aptos"/>
          <w:bCs/>
          <w:sz w:val="22"/>
          <w:szCs w:val="22"/>
          <w:lang w:eastAsia="en-US"/>
        </w:rPr>
        <w:t>%</w:t>
      </w:r>
      <w:r w:rsidRPr="007F54B3">
        <w:rPr>
          <w:rFonts w:ascii="Aptos" w:hAnsi="Aptos"/>
          <w:bCs/>
          <w:sz w:val="22"/>
          <w:szCs w:val="22"/>
          <w:lang w:eastAsia="en-US"/>
        </w:rPr>
        <w:t xml:space="preserve"> de la prime acquittée et pourra être révisée chaque année par le conseil d’administration du </w:t>
      </w:r>
      <w:r w:rsidR="00DE322D">
        <w:rPr>
          <w:rFonts w:ascii="Aptos" w:hAnsi="Aptos"/>
          <w:bCs/>
          <w:sz w:val="22"/>
          <w:szCs w:val="22"/>
          <w:lang w:eastAsia="en-US"/>
        </w:rPr>
        <w:t>c</w:t>
      </w:r>
      <w:r w:rsidRPr="007F54B3">
        <w:rPr>
          <w:rFonts w:ascii="Aptos" w:hAnsi="Aptos"/>
          <w:bCs/>
          <w:sz w:val="22"/>
          <w:szCs w:val="22"/>
          <w:lang w:eastAsia="en-US"/>
        </w:rPr>
        <w:t xml:space="preserve">entre </w:t>
      </w:r>
      <w:r w:rsidR="00DE322D">
        <w:rPr>
          <w:rFonts w:ascii="Aptos" w:hAnsi="Aptos"/>
          <w:bCs/>
          <w:sz w:val="22"/>
          <w:szCs w:val="22"/>
          <w:lang w:eastAsia="en-US"/>
        </w:rPr>
        <w:t>d</w:t>
      </w:r>
      <w:r w:rsidRPr="007F54B3">
        <w:rPr>
          <w:rFonts w:ascii="Aptos" w:hAnsi="Aptos"/>
          <w:bCs/>
          <w:sz w:val="22"/>
          <w:szCs w:val="22"/>
          <w:lang w:eastAsia="en-US"/>
        </w:rPr>
        <w:t xml:space="preserve">e </w:t>
      </w:r>
      <w:r w:rsidR="00DE322D">
        <w:rPr>
          <w:rFonts w:ascii="Aptos" w:hAnsi="Aptos"/>
          <w:bCs/>
          <w:sz w:val="22"/>
          <w:szCs w:val="22"/>
          <w:lang w:eastAsia="en-US"/>
        </w:rPr>
        <w:t>g</w:t>
      </w:r>
      <w:r w:rsidRPr="007F54B3">
        <w:rPr>
          <w:rFonts w:ascii="Aptos" w:hAnsi="Aptos"/>
          <w:bCs/>
          <w:sz w:val="22"/>
          <w:szCs w:val="22"/>
          <w:lang w:eastAsia="en-US"/>
        </w:rPr>
        <w:t xml:space="preserve">estion de la </w:t>
      </w:r>
      <w:r w:rsidR="00DE322D">
        <w:rPr>
          <w:rFonts w:ascii="Aptos" w:hAnsi="Aptos"/>
          <w:bCs/>
          <w:sz w:val="22"/>
          <w:szCs w:val="22"/>
          <w:lang w:eastAsia="en-US"/>
        </w:rPr>
        <w:lastRenderedPageBreak/>
        <w:t>f</w:t>
      </w:r>
      <w:r w:rsidRPr="007F54B3">
        <w:rPr>
          <w:rFonts w:ascii="Aptos" w:hAnsi="Aptos"/>
          <w:bCs/>
          <w:sz w:val="22"/>
          <w:szCs w:val="22"/>
          <w:lang w:eastAsia="en-US"/>
        </w:rPr>
        <w:t xml:space="preserve">onction </w:t>
      </w:r>
      <w:r w:rsidR="00DE322D">
        <w:rPr>
          <w:rFonts w:ascii="Aptos" w:hAnsi="Aptos"/>
          <w:bCs/>
          <w:sz w:val="22"/>
          <w:szCs w:val="22"/>
          <w:lang w:eastAsia="en-US"/>
        </w:rPr>
        <w:t>p</w:t>
      </w:r>
      <w:r w:rsidRPr="007F54B3">
        <w:rPr>
          <w:rFonts w:ascii="Aptos" w:hAnsi="Aptos"/>
          <w:bCs/>
          <w:sz w:val="22"/>
          <w:szCs w:val="22"/>
          <w:lang w:eastAsia="en-US"/>
        </w:rPr>
        <w:t xml:space="preserve">ublique </w:t>
      </w:r>
      <w:r w:rsidR="00DE322D">
        <w:rPr>
          <w:rFonts w:ascii="Aptos" w:hAnsi="Aptos"/>
          <w:bCs/>
          <w:sz w:val="22"/>
          <w:szCs w:val="22"/>
          <w:lang w:eastAsia="en-US"/>
        </w:rPr>
        <w:t>t</w:t>
      </w:r>
      <w:r w:rsidRPr="007F54B3">
        <w:rPr>
          <w:rFonts w:ascii="Aptos" w:hAnsi="Aptos"/>
          <w:bCs/>
          <w:sz w:val="22"/>
          <w:szCs w:val="22"/>
          <w:lang w:eastAsia="en-US"/>
        </w:rPr>
        <w:t>erritoriale de l</w:t>
      </w:r>
      <w:r w:rsidR="007C0EF4">
        <w:rPr>
          <w:rFonts w:ascii="Aptos" w:hAnsi="Aptos"/>
          <w:bCs/>
          <w:sz w:val="22"/>
          <w:szCs w:val="22"/>
          <w:lang w:eastAsia="en-US"/>
        </w:rPr>
        <w:t>a Nièvre</w:t>
      </w:r>
      <w:r w:rsidRPr="007F54B3">
        <w:rPr>
          <w:rFonts w:ascii="Aptos" w:hAnsi="Aptos"/>
          <w:bCs/>
          <w:sz w:val="22"/>
          <w:szCs w:val="22"/>
          <w:lang w:eastAsia="en-US"/>
        </w:rPr>
        <w:t>.</w:t>
      </w:r>
    </w:p>
    <w:p w14:paraId="02AB2A5E" w14:textId="77777777" w:rsidR="005A0A42" w:rsidRPr="007F54B3" w:rsidRDefault="005A0A42" w:rsidP="00F82D49">
      <w:pPr>
        <w:suppressAutoHyphens w:val="0"/>
        <w:jc w:val="both"/>
        <w:rPr>
          <w:rFonts w:ascii="Aptos" w:hAnsi="Aptos"/>
          <w:bCs/>
          <w:sz w:val="22"/>
          <w:szCs w:val="22"/>
          <w:lang w:eastAsia="en-US"/>
        </w:rPr>
      </w:pPr>
    </w:p>
    <w:p w14:paraId="101845EC" w14:textId="22015734" w:rsidR="00EC3C63" w:rsidRPr="007F54B3" w:rsidRDefault="00EC3C63" w:rsidP="004C4172">
      <w:pPr>
        <w:widowControl w:val="0"/>
        <w:tabs>
          <w:tab w:val="left" w:pos="1110"/>
          <w:tab w:val="left" w:pos="9193"/>
        </w:tabs>
        <w:ind w:left="142" w:right="121"/>
        <w:jc w:val="both"/>
        <w:rPr>
          <w:rFonts w:ascii="Aptos" w:hAnsi="Aptos"/>
          <w:bCs/>
          <w:sz w:val="22"/>
          <w:szCs w:val="22"/>
          <w:lang w:eastAsia="en-US"/>
        </w:rPr>
      </w:pPr>
      <w:r w:rsidRPr="007F54B3">
        <w:rPr>
          <w:rFonts w:ascii="Aptos" w:hAnsi="Aptos"/>
          <w:bCs/>
          <w:sz w:val="22"/>
          <w:szCs w:val="22"/>
          <w:lang w:eastAsia="en-US"/>
        </w:rPr>
        <w:t>Après examen et délibéré, l’assemblée délibérante</w:t>
      </w:r>
    </w:p>
    <w:p w14:paraId="0E3F2F53" w14:textId="77777777" w:rsidR="00EC3C63" w:rsidRPr="007F54B3" w:rsidRDefault="00EC3C63" w:rsidP="00EC3C63">
      <w:pPr>
        <w:widowControl w:val="0"/>
        <w:tabs>
          <w:tab w:val="left" w:pos="9193"/>
        </w:tabs>
        <w:spacing w:before="1"/>
        <w:jc w:val="both"/>
        <w:rPr>
          <w:rFonts w:ascii="Aptos" w:hAnsi="Aptos"/>
          <w:sz w:val="22"/>
          <w:szCs w:val="22"/>
          <w:lang w:eastAsia="en-US"/>
        </w:rPr>
      </w:pPr>
    </w:p>
    <w:p w14:paraId="1814AA24" w14:textId="03A389FD" w:rsidR="00EC3C63" w:rsidRPr="007F54B3" w:rsidRDefault="003E7F6A" w:rsidP="00DB2723">
      <w:pPr>
        <w:pStyle w:val="Paragraphedeliste"/>
        <w:widowControl w:val="0"/>
        <w:numPr>
          <w:ilvl w:val="0"/>
          <w:numId w:val="21"/>
        </w:numPr>
        <w:tabs>
          <w:tab w:val="left" w:pos="1110"/>
          <w:tab w:val="left" w:pos="9193"/>
        </w:tabs>
        <w:ind w:right="121"/>
        <w:jc w:val="both"/>
        <w:rPr>
          <w:rFonts w:ascii="Aptos" w:eastAsia="Calibri" w:hAnsi="Aptos"/>
          <w:b/>
          <w:bCs/>
          <w:color w:val="000000"/>
          <w:sz w:val="22"/>
          <w:szCs w:val="22"/>
          <w:u w:val="single"/>
        </w:rPr>
      </w:pPr>
      <w:r w:rsidRPr="007F54B3">
        <w:rPr>
          <w:rFonts w:ascii="Aptos" w:eastAsia="Calibri" w:hAnsi="Aptos"/>
          <w:b/>
          <w:bCs/>
          <w:color w:val="000000"/>
          <w:sz w:val="22"/>
          <w:szCs w:val="22"/>
          <w:u w:val="single"/>
        </w:rPr>
        <w:t xml:space="preserve">ARTICLE 3 - autorise </w:t>
      </w:r>
      <w:r w:rsidRPr="007F54B3">
        <w:rPr>
          <w:rFonts w:ascii="Aptos" w:eastAsia="Calibri" w:hAnsi="Aptos"/>
          <w:b/>
          <w:bCs/>
          <w:color w:val="000000"/>
          <w:sz w:val="22"/>
          <w:szCs w:val="22"/>
          <w:highlight w:val="cyan"/>
          <w:u w:val="single"/>
        </w:rPr>
        <w:t>le Maire / Président</w:t>
      </w:r>
      <w:r w:rsidRPr="007F54B3">
        <w:rPr>
          <w:rFonts w:ascii="Aptos" w:eastAsia="Calibri" w:hAnsi="Aptos"/>
          <w:b/>
          <w:bCs/>
          <w:color w:val="000000"/>
          <w:sz w:val="22"/>
          <w:szCs w:val="22"/>
          <w:u w:val="single"/>
        </w:rPr>
        <w:t xml:space="preserve"> ou son représentant</w:t>
      </w:r>
    </w:p>
    <w:p w14:paraId="44BA6351" w14:textId="77777777" w:rsidR="003E7F6A" w:rsidRPr="007F54B3" w:rsidRDefault="003E7F6A" w:rsidP="00EC3C63">
      <w:pPr>
        <w:widowControl w:val="0"/>
        <w:tabs>
          <w:tab w:val="left" w:pos="9193"/>
        </w:tabs>
        <w:spacing w:before="11"/>
        <w:ind w:left="142"/>
        <w:jc w:val="both"/>
        <w:rPr>
          <w:rFonts w:ascii="Aptos" w:eastAsia="Calibri" w:hAnsi="Aptos"/>
          <w:b/>
          <w:bCs/>
          <w:color w:val="000000"/>
          <w:sz w:val="22"/>
          <w:szCs w:val="22"/>
        </w:rPr>
      </w:pPr>
    </w:p>
    <w:p w14:paraId="6BCFEA23" w14:textId="08F9EF54" w:rsidR="00EC3C63" w:rsidRPr="007F54B3" w:rsidRDefault="000D2490" w:rsidP="00CD0790">
      <w:pPr>
        <w:pStyle w:val="Paragraphedeliste"/>
        <w:widowControl w:val="0"/>
        <w:numPr>
          <w:ilvl w:val="0"/>
          <w:numId w:val="23"/>
        </w:numPr>
        <w:tabs>
          <w:tab w:val="left" w:pos="9193"/>
        </w:tabs>
        <w:ind w:left="1134" w:right="112"/>
        <w:jc w:val="both"/>
        <w:rPr>
          <w:rFonts w:ascii="Aptos" w:hAnsi="Aptos"/>
          <w:bCs/>
          <w:sz w:val="22"/>
          <w:szCs w:val="22"/>
          <w:lang w:eastAsia="en-US"/>
        </w:rPr>
      </w:pPr>
      <w:r w:rsidRPr="007F54B3">
        <w:rPr>
          <w:rFonts w:ascii="Aptos" w:hAnsi="Aptos"/>
          <w:bCs/>
          <w:sz w:val="22"/>
          <w:szCs w:val="22"/>
          <w:lang w:eastAsia="en-US"/>
        </w:rPr>
        <w:t>D’adhérer</w:t>
      </w:r>
      <w:r w:rsidR="00EC3C63" w:rsidRPr="007F54B3">
        <w:rPr>
          <w:rFonts w:ascii="Aptos" w:hAnsi="Aptos"/>
          <w:bCs/>
          <w:sz w:val="22"/>
          <w:szCs w:val="22"/>
          <w:lang w:eastAsia="en-US"/>
        </w:rPr>
        <w:t xml:space="preserve"> au contrat groupe d’assurance statutaire du Centre De Gestion de la fonction publique territoriale </w:t>
      </w:r>
      <w:r w:rsidR="00BF0739" w:rsidRPr="007F54B3">
        <w:rPr>
          <w:rFonts w:ascii="Aptos" w:hAnsi="Aptos"/>
          <w:bCs/>
          <w:sz w:val="22"/>
          <w:szCs w:val="22"/>
          <w:lang w:eastAsia="en-US"/>
        </w:rPr>
        <w:t>de l</w:t>
      </w:r>
      <w:r w:rsidR="007C0EF4">
        <w:rPr>
          <w:rFonts w:ascii="Aptos" w:hAnsi="Aptos"/>
          <w:bCs/>
          <w:sz w:val="22"/>
          <w:szCs w:val="22"/>
          <w:lang w:eastAsia="en-US"/>
        </w:rPr>
        <w:t xml:space="preserve">a Nièvre </w:t>
      </w:r>
      <w:r w:rsidR="00EC3C63" w:rsidRPr="007F54B3">
        <w:rPr>
          <w:rFonts w:ascii="Aptos" w:hAnsi="Aptos"/>
          <w:bCs/>
          <w:sz w:val="22"/>
          <w:szCs w:val="22"/>
          <w:lang w:eastAsia="en-US"/>
        </w:rPr>
        <w:t>à compter du 1er janvier 202</w:t>
      </w:r>
      <w:r w:rsidR="00BF0739" w:rsidRPr="007F54B3">
        <w:rPr>
          <w:rFonts w:ascii="Aptos" w:hAnsi="Aptos"/>
          <w:bCs/>
          <w:sz w:val="22"/>
          <w:szCs w:val="22"/>
          <w:lang w:eastAsia="en-US"/>
        </w:rPr>
        <w:t>6</w:t>
      </w:r>
      <w:r w:rsidR="00EC3C63" w:rsidRPr="007F54B3">
        <w:rPr>
          <w:rFonts w:ascii="Aptos" w:hAnsi="Aptos"/>
          <w:bCs/>
          <w:sz w:val="22"/>
          <w:szCs w:val="22"/>
          <w:lang w:eastAsia="en-US"/>
        </w:rPr>
        <w:t>,</w:t>
      </w:r>
    </w:p>
    <w:p w14:paraId="17E55DD8" w14:textId="77777777" w:rsidR="003E7F6A" w:rsidRPr="007F54B3" w:rsidRDefault="003E7F6A" w:rsidP="00CD0790">
      <w:pPr>
        <w:pStyle w:val="Paragraphedeliste"/>
        <w:widowControl w:val="0"/>
        <w:tabs>
          <w:tab w:val="left" w:pos="9193"/>
        </w:tabs>
        <w:ind w:left="1134" w:right="112" w:hanging="425"/>
        <w:jc w:val="both"/>
        <w:rPr>
          <w:rFonts w:ascii="Aptos" w:hAnsi="Aptos"/>
          <w:bCs/>
          <w:sz w:val="22"/>
          <w:szCs w:val="22"/>
          <w:lang w:eastAsia="en-US"/>
        </w:rPr>
      </w:pPr>
    </w:p>
    <w:p w14:paraId="2256305C" w14:textId="450D6A03" w:rsidR="00EC3C63" w:rsidRPr="007F54B3" w:rsidRDefault="000D2490" w:rsidP="00CD0790">
      <w:pPr>
        <w:pStyle w:val="Paragraphedeliste"/>
        <w:widowControl w:val="0"/>
        <w:numPr>
          <w:ilvl w:val="0"/>
          <w:numId w:val="23"/>
        </w:numPr>
        <w:tabs>
          <w:tab w:val="left" w:pos="9193"/>
        </w:tabs>
        <w:ind w:left="1134" w:right="112"/>
        <w:jc w:val="both"/>
        <w:rPr>
          <w:rFonts w:ascii="Aptos" w:hAnsi="Aptos"/>
          <w:bCs/>
          <w:sz w:val="22"/>
          <w:szCs w:val="22"/>
          <w:lang w:eastAsia="en-US"/>
        </w:rPr>
      </w:pPr>
      <w:r w:rsidRPr="007F54B3">
        <w:rPr>
          <w:rFonts w:ascii="Aptos" w:hAnsi="Aptos"/>
          <w:bCs/>
          <w:sz w:val="22"/>
          <w:szCs w:val="22"/>
          <w:lang w:eastAsia="en-US"/>
        </w:rPr>
        <w:t>D’autoriser</w:t>
      </w:r>
      <w:r w:rsidR="00EC3C63" w:rsidRPr="007F54B3">
        <w:rPr>
          <w:rFonts w:ascii="Aptos" w:hAnsi="Aptos"/>
          <w:bCs/>
          <w:sz w:val="22"/>
          <w:szCs w:val="22"/>
          <w:lang w:eastAsia="en-US"/>
        </w:rPr>
        <w:t xml:space="preserve"> le </w:t>
      </w:r>
      <w:r w:rsidR="00EC3C63" w:rsidRPr="007F54B3">
        <w:rPr>
          <w:rFonts w:ascii="Aptos" w:hAnsi="Aptos"/>
          <w:bCs/>
          <w:sz w:val="22"/>
          <w:szCs w:val="22"/>
          <w:highlight w:val="cyan"/>
          <w:lang w:eastAsia="en-US"/>
        </w:rPr>
        <w:t>Maire / Président</w:t>
      </w:r>
      <w:r w:rsidR="00EC3C63" w:rsidRPr="007F54B3">
        <w:rPr>
          <w:rFonts w:ascii="Aptos" w:hAnsi="Aptos"/>
          <w:bCs/>
          <w:sz w:val="22"/>
          <w:szCs w:val="22"/>
          <w:lang w:eastAsia="en-US"/>
        </w:rPr>
        <w:t xml:space="preserve"> à signer tous </w:t>
      </w:r>
      <w:r w:rsidR="00901541" w:rsidRPr="007F54B3">
        <w:rPr>
          <w:rFonts w:ascii="Aptos" w:hAnsi="Aptos"/>
          <w:bCs/>
          <w:sz w:val="22"/>
          <w:szCs w:val="22"/>
          <w:lang w:eastAsia="en-US"/>
        </w:rPr>
        <w:t>l</w:t>
      </w:r>
      <w:r w:rsidR="00EC3C63" w:rsidRPr="007F54B3">
        <w:rPr>
          <w:rFonts w:ascii="Aptos" w:hAnsi="Aptos"/>
          <w:bCs/>
          <w:sz w:val="22"/>
          <w:szCs w:val="22"/>
          <w:lang w:eastAsia="en-US"/>
        </w:rPr>
        <w:t xml:space="preserve">es documents relatifs au contrat d’assurance statutaire du </w:t>
      </w:r>
      <w:r w:rsidR="00BF0739" w:rsidRPr="007F54B3">
        <w:rPr>
          <w:rFonts w:ascii="Aptos" w:hAnsi="Aptos"/>
          <w:bCs/>
          <w:sz w:val="22"/>
          <w:szCs w:val="22"/>
          <w:lang w:eastAsia="en-US"/>
        </w:rPr>
        <w:t xml:space="preserve">Centre De Gestion de la fonction publique territoriale de </w:t>
      </w:r>
      <w:r w:rsidR="007C0EF4">
        <w:rPr>
          <w:rFonts w:ascii="Aptos" w:hAnsi="Aptos"/>
          <w:bCs/>
          <w:sz w:val="22"/>
          <w:szCs w:val="22"/>
          <w:lang w:eastAsia="en-US"/>
        </w:rPr>
        <w:t>la Nièvre</w:t>
      </w:r>
      <w:r w:rsidR="00BF0739" w:rsidRPr="007F54B3">
        <w:rPr>
          <w:rFonts w:ascii="Aptos" w:hAnsi="Aptos"/>
          <w:bCs/>
          <w:sz w:val="22"/>
          <w:szCs w:val="22"/>
          <w:lang w:eastAsia="en-US"/>
        </w:rPr>
        <w:t>,</w:t>
      </w:r>
    </w:p>
    <w:p w14:paraId="263FCE50" w14:textId="77777777" w:rsidR="003E7F6A" w:rsidRPr="007F54B3" w:rsidRDefault="003E7F6A" w:rsidP="00CD0790">
      <w:pPr>
        <w:widowControl w:val="0"/>
        <w:tabs>
          <w:tab w:val="left" w:pos="9193"/>
        </w:tabs>
        <w:ind w:left="1134" w:right="112" w:hanging="425"/>
        <w:jc w:val="both"/>
        <w:rPr>
          <w:rFonts w:ascii="Aptos" w:hAnsi="Aptos"/>
          <w:bCs/>
          <w:sz w:val="22"/>
          <w:szCs w:val="22"/>
          <w:lang w:eastAsia="en-US"/>
        </w:rPr>
      </w:pPr>
    </w:p>
    <w:p w14:paraId="5A1EDAFE" w14:textId="5AA270E4" w:rsidR="0076194A" w:rsidRDefault="00ED1F67" w:rsidP="0076194A">
      <w:pPr>
        <w:pStyle w:val="Paragraphedeliste"/>
        <w:numPr>
          <w:ilvl w:val="0"/>
          <w:numId w:val="23"/>
        </w:numPr>
        <w:ind w:left="1134"/>
        <w:jc w:val="both"/>
        <w:rPr>
          <w:rFonts w:ascii="Aptos" w:hAnsi="Aptos"/>
          <w:bCs/>
          <w:sz w:val="22"/>
          <w:szCs w:val="22"/>
          <w:lang w:eastAsia="en-US"/>
        </w:rPr>
      </w:pPr>
      <w:r w:rsidRPr="007F54B3">
        <w:rPr>
          <w:rFonts w:ascii="Aptos" w:hAnsi="Aptos"/>
          <w:bCs/>
          <w:sz w:val="22"/>
          <w:szCs w:val="22"/>
          <w:lang w:eastAsia="en-US"/>
        </w:rPr>
        <w:t xml:space="preserve">D’autoriser le </w:t>
      </w:r>
      <w:r w:rsidRPr="007F54B3">
        <w:rPr>
          <w:rFonts w:ascii="Aptos" w:hAnsi="Aptos"/>
          <w:bCs/>
          <w:sz w:val="22"/>
          <w:szCs w:val="22"/>
          <w:highlight w:val="cyan"/>
          <w:lang w:eastAsia="en-US"/>
        </w:rPr>
        <w:t>Maire / Président</w:t>
      </w:r>
      <w:r w:rsidRPr="007F54B3">
        <w:rPr>
          <w:rFonts w:ascii="Aptos" w:hAnsi="Aptos"/>
          <w:bCs/>
          <w:sz w:val="22"/>
          <w:szCs w:val="22"/>
          <w:lang w:eastAsia="en-US"/>
        </w:rPr>
        <w:t xml:space="preserve"> </w:t>
      </w:r>
      <w:r>
        <w:rPr>
          <w:rFonts w:ascii="Aptos" w:hAnsi="Aptos"/>
          <w:bCs/>
          <w:sz w:val="22"/>
          <w:szCs w:val="22"/>
          <w:lang w:eastAsia="en-US"/>
        </w:rPr>
        <w:t xml:space="preserve">à </w:t>
      </w:r>
      <w:r w:rsidR="00EC3C63" w:rsidRPr="007F54B3">
        <w:rPr>
          <w:rFonts w:ascii="Aptos" w:hAnsi="Aptos"/>
          <w:bCs/>
          <w:sz w:val="22"/>
          <w:szCs w:val="22"/>
          <w:lang w:eastAsia="en-US"/>
        </w:rPr>
        <w:t xml:space="preserve">signer la convention </w:t>
      </w:r>
      <w:r>
        <w:rPr>
          <w:rFonts w:ascii="Aptos" w:hAnsi="Aptos"/>
          <w:bCs/>
          <w:sz w:val="22"/>
          <w:szCs w:val="22"/>
          <w:lang w:eastAsia="en-US"/>
        </w:rPr>
        <w:t>de gestion</w:t>
      </w:r>
      <w:r w:rsidR="00EC3C63" w:rsidRPr="007F54B3">
        <w:rPr>
          <w:rFonts w:ascii="Aptos" w:hAnsi="Aptos"/>
          <w:bCs/>
          <w:sz w:val="22"/>
          <w:szCs w:val="22"/>
          <w:lang w:eastAsia="en-US"/>
        </w:rPr>
        <w:t xml:space="preserve"> proposée par le </w:t>
      </w:r>
      <w:r w:rsidR="00BF0739" w:rsidRPr="007F54B3">
        <w:rPr>
          <w:rFonts w:ascii="Aptos" w:hAnsi="Aptos"/>
          <w:bCs/>
          <w:sz w:val="22"/>
          <w:szCs w:val="22"/>
          <w:lang w:eastAsia="en-US"/>
        </w:rPr>
        <w:t xml:space="preserve">Centre De Gestion de la fonction publique territoriale de </w:t>
      </w:r>
      <w:r w:rsidR="007C0EF4">
        <w:rPr>
          <w:rFonts w:ascii="Aptos" w:hAnsi="Aptos"/>
          <w:bCs/>
          <w:sz w:val="22"/>
          <w:szCs w:val="22"/>
          <w:lang w:eastAsia="en-US"/>
        </w:rPr>
        <w:t>la Nièvre</w:t>
      </w:r>
      <w:r w:rsidR="00BF0739" w:rsidRPr="007F54B3">
        <w:rPr>
          <w:rFonts w:ascii="Aptos" w:hAnsi="Aptos"/>
          <w:bCs/>
          <w:sz w:val="22"/>
          <w:szCs w:val="22"/>
          <w:lang w:eastAsia="en-US"/>
        </w:rPr>
        <w:t>.</w:t>
      </w:r>
    </w:p>
    <w:p w14:paraId="3DB330F6" w14:textId="77777777" w:rsidR="0076194A" w:rsidRDefault="0076194A" w:rsidP="0076194A">
      <w:pPr>
        <w:pStyle w:val="Paragraphedeliste"/>
        <w:ind w:left="1134"/>
        <w:jc w:val="both"/>
        <w:rPr>
          <w:rFonts w:ascii="Aptos" w:hAnsi="Aptos"/>
          <w:bCs/>
          <w:sz w:val="22"/>
          <w:szCs w:val="22"/>
          <w:lang w:eastAsia="en-US"/>
        </w:rPr>
      </w:pPr>
    </w:p>
    <w:p w14:paraId="13CE4FCE" w14:textId="0505A65B" w:rsidR="008C5CD9" w:rsidRPr="0076194A" w:rsidRDefault="0076194A" w:rsidP="0076194A">
      <w:pPr>
        <w:pStyle w:val="Paragraphedeliste"/>
        <w:numPr>
          <w:ilvl w:val="0"/>
          <w:numId w:val="23"/>
        </w:numPr>
        <w:ind w:left="1134"/>
        <w:jc w:val="both"/>
        <w:rPr>
          <w:rFonts w:ascii="Aptos" w:hAnsi="Aptos"/>
          <w:bCs/>
          <w:sz w:val="22"/>
          <w:szCs w:val="22"/>
          <w:lang w:eastAsia="en-US"/>
        </w:rPr>
      </w:pPr>
      <w:r w:rsidRPr="00061763">
        <w:rPr>
          <w:rFonts w:ascii="Aptos" w:hAnsi="Aptos"/>
          <w:bCs/>
          <w:sz w:val="22"/>
          <w:szCs w:val="22"/>
          <w:lang w:eastAsia="en-US"/>
        </w:rPr>
        <w:t xml:space="preserve">S’engagent à inscrire </w:t>
      </w:r>
      <w:r w:rsidR="008C5CD9" w:rsidRPr="00061763">
        <w:rPr>
          <w:rFonts w:ascii="Aptos" w:hAnsi="Aptos"/>
          <w:bCs/>
          <w:sz w:val="22"/>
          <w:szCs w:val="22"/>
          <w:lang w:eastAsia="en-US"/>
        </w:rPr>
        <w:t>les crédits nécessaires au budget.</w:t>
      </w:r>
    </w:p>
    <w:p w14:paraId="37A38DE2" w14:textId="77777777" w:rsidR="00530A75" w:rsidRDefault="00530A75" w:rsidP="008C5CD9">
      <w:pPr>
        <w:jc w:val="both"/>
        <w:rPr>
          <w:rFonts w:ascii="Aptos" w:hAnsi="Aptos"/>
          <w:bCs/>
          <w:sz w:val="22"/>
          <w:szCs w:val="22"/>
          <w:lang w:eastAsia="en-US"/>
        </w:rPr>
      </w:pPr>
    </w:p>
    <w:p w14:paraId="1A08AB26" w14:textId="77777777" w:rsidR="005656A9" w:rsidRPr="007F54B3" w:rsidRDefault="003F2CD1" w:rsidP="003F2CD1">
      <w:pPr>
        <w:rPr>
          <w:rFonts w:ascii="Aptos" w:hAnsi="Aptos" w:cs="Poppins"/>
          <w:iCs/>
          <w:sz w:val="22"/>
          <w:szCs w:val="22"/>
        </w:rPr>
      </w:pPr>
      <w:r w:rsidRPr="007F54B3">
        <w:rPr>
          <w:rFonts w:ascii="Aptos" w:hAnsi="Aptos" w:cs="Poppins"/>
          <w:b/>
          <w:bCs/>
          <w:iCs/>
          <w:sz w:val="22"/>
          <w:szCs w:val="22"/>
        </w:rPr>
        <w:t>ADOPTÉ :</w:t>
      </w:r>
      <w:r w:rsidRPr="007F54B3">
        <w:rPr>
          <w:rFonts w:ascii="Aptos" w:hAnsi="Aptos" w:cs="Poppins"/>
          <w:iCs/>
          <w:sz w:val="22"/>
          <w:szCs w:val="22"/>
        </w:rPr>
        <w:t xml:space="preserve"> </w:t>
      </w:r>
    </w:p>
    <w:p w14:paraId="19781CD2" w14:textId="77777777" w:rsidR="005656A9" w:rsidRPr="007F54B3" w:rsidRDefault="005656A9" w:rsidP="003F2CD1">
      <w:pPr>
        <w:rPr>
          <w:rFonts w:ascii="Aptos" w:hAnsi="Aptos" w:cs="Poppins"/>
          <w:iCs/>
          <w:sz w:val="22"/>
          <w:szCs w:val="22"/>
        </w:rPr>
      </w:pPr>
    </w:p>
    <w:tbl>
      <w:tblPr>
        <w:tblStyle w:val="Grilledutableau"/>
        <w:tblW w:w="8381" w:type="dxa"/>
        <w:tblInd w:w="988" w:type="dxa"/>
        <w:tblLook w:val="04A0" w:firstRow="1" w:lastRow="0" w:firstColumn="1" w:lastColumn="0" w:noHBand="0" w:noVBand="1"/>
      </w:tblPr>
      <w:tblGrid>
        <w:gridCol w:w="955"/>
        <w:gridCol w:w="746"/>
        <w:gridCol w:w="6680"/>
      </w:tblGrid>
      <w:tr w:rsidR="00BE43DA" w:rsidRPr="007F54B3" w14:paraId="4D765BC3" w14:textId="77777777" w:rsidTr="00CD0790">
        <w:trPr>
          <w:trHeight w:val="500"/>
        </w:trPr>
        <w:tc>
          <w:tcPr>
            <w:tcW w:w="955" w:type="dxa"/>
            <w:tcBorders>
              <w:left w:val="nil"/>
            </w:tcBorders>
          </w:tcPr>
          <w:p w14:paraId="0D9E73DA" w14:textId="319A83E5" w:rsidR="00BE43DA" w:rsidRPr="007F54B3" w:rsidRDefault="00BE43DA" w:rsidP="006A03E2">
            <w:pPr>
              <w:jc w:val="center"/>
              <w:rPr>
                <w:rFonts w:ascii="Aptos" w:hAnsi="Aptos" w:cs="Poppins"/>
                <w:iCs/>
                <w:sz w:val="22"/>
                <w:szCs w:val="22"/>
              </w:rPr>
            </w:pPr>
            <w:r w:rsidRPr="007F54B3">
              <w:rPr>
                <w:rFonts w:ascii="Aptos" w:hAnsi="Aptos"/>
                <w:sz w:val="22"/>
                <w:szCs w:val="22"/>
                <w:lang w:eastAsia="en-US"/>
              </w:rPr>
              <w:sym w:font="Wingdings" w:char="F0A8"/>
            </w:r>
          </w:p>
        </w:tc>
        <w:tc>
          <w:tcPr>
            <w:tcW w:w="7426" w:type="dxa"/>
            <w:gridSpan w:val="2"/>
            <w:tcBorders>
              <w:right w:val="nil"/>
            </w:tcBorders>
          </w:tcPr>
          <w:p w14:paraId="2F9A4C85" w14:textId="526BE7D2" w:rsidR="00BE43DA" w:rsidRPr="007F54B3" w:rsidRDefault="00BE43DA" w:rsidP="00200484">
            <w:pPr>
              <w:rPr>
                <w:rFonts w:ascii="Aptos" w:hAnsi="Aptos" w:cs="Poppins"/>
                <w:iCs/>
                <w:sz w:val="22"/>
                <w:szCs w:val="22"/>
              </w:rPr>
            </w:pPr>
            <w:r w:rsidRPr="007F54B3">
              <w:rPr>
                <w:rFonts w:ascii="Aptos" w:hAnsi="Aptos" w:cs="Poppins"/>
                <w:b/>
                <w:bCs/>
                <w:iCs/>
                <w:sz w:val="22"/>
                <w:szCs w:val="22"/>
              </w:rPr>
              <w:t>À l’unanimité des membres présents</w:t>
            </w:r>
          </w:p>
        </w:tc>
      </w:tr>
      <w:tr w:rsidR="00BE43DA" w:rsidRPr="007F54B3" w14:paraId="72E9F206" w14:textId="77777777" w:rsidTr="00CD0790">
        <w:trPr>
          <w:trHeight w:val="92"/>
        </w:trPr>
        <w:tc>
          <w:tcPr>
            <w:tcW w:w="955" w:type="dxa"/>
            <w:vMerge w:val="restart"/>
            <w:tcBorders>
              <w:left w:val="nil"/>
            </w:tcBorders>
            <w:vAlign w:val="center"/>
          </w:tcPr>
          <w:p w14:paraId="50AB32B0" w14:textId="5C0A2084" w:rsidR="00BE43DA" w:rsidRPr="007F54B3" w:rsidRDefault="00BE43DA" w:rsidP="006A03E2">
            <w:pPr>
              <w:jc w:val="center"/>
              <w:rPr>
                <w:rFonts w:ascii="Aptos" w:hAnsi="Aptos" w:cs="Poppins"/>
                <w:iCs/>
                <w:sz w:val="22"/>
                <w:szCs w:val="22"/>
              </w:rPr>
            </w:pPr>
            <w:r w:rsidRPr="007F54B3">
              <w:rPr>
                <w:rFonts w:ascii="Aptos" w:hAnsi="Aptos"/>
                <w:sz w:val="22"/>
                <w:szCs w:val="22"/>
                <w:lang w:eastAsia="en-US"/>
              </w:rPr>
              <w:sym w:font="Wingdings" w:char="F0A8"/>
            </w:r>
          </w:p>
        </w:tc>
        <w:tc>
          <w:tcPr>
            <w:tcW w:w="746" w:type="dxa"/>
            <w:tcBorders>
              <w:bottom w:val="nil"/>
              <w:right w:val="nil"/>
            </w:tcBorders>
          </w:tcPr>
          <w:p w14:paraId="52C46486" w14:textId="77777777" w:rsidR="00BE43DA" w:rsidRPr="007F54B3" w:rsidRDefault="00BE43DA" w:rsidP="00200484">
            <w:pPr>
              <w:rPr>
                <w:rFonts w:ascii="Aptos" w:hAnsi="Aptos" w:cs="Poppins"/>
                <w:iCs/>
                <w:sz w:val="22"/>
                <w:szCs w:val="22"/>
              </w:rPr>
            </w:pPr>
          </w:p>
        </w:tc>
        <w:tc>
          <w:tcPr>
            <w:tcW w:w="6680" w:type="dxa"/>
            <w:tcBorders>
              <w:left w:val="nil"/>
              <w:bottom w:val="nil"/>
              <w:right w:val="nil"/>
            </w:tcBorders>
          </w:tcPr>
          <w:p w14:paraId="535159AC" w14:textId="1324B21C" w:rsidR="00BE43DA" w:rsidRPr="007F54B3" w:rsidRDefault="00BE43DA" w:rsidP="00200484">
            <w:pPr>
              <w:rPr>
                <w:rFonts w:ascii="Aptos" w:hAnsi="Aptos" w:cs="Poppins"/>
                <w:iCs/>
                <w:sz w:val="22"/>
                <w:szCs w:val="22"/>
              </w:rPr>
            </w:pPr>
            <w:r w:rsidRPr="007F54B3">
              <w:rPr>
                <w:rFonts w:ascii="Aptos" w:hAnsi="Aptos" w:cs="Poppins"/>
                <w:iCs/>
                <w:sz w:val="22"/>
                <w:szCs w:val="22"/>
              </w:rPr>
              <w:t>voix pour</w:t>
            </w:r>
          </w:p>
        </w:tc>
      </w:tr>
      <w:tr w:rsidR="00BE43DA" w:rsidRPr="007F54B3" w14:paraId="23D7D4F8" w14:textId="77777777" w:rsidTr="00CD0790">
        <w:trPr>
          <w:trHeight w:val="90"/>
        </w:trPr>
        <w:tc>
          <w:tcPr>
            <w:tcW w:w="955" w:type="dxa"/>
            <w:vMerge/>
            <w:tcBorders>
              <w:top w:val="nil"/>
              <w:left w:val="nil"/>
            </w:tcBorders>
          </w:tcPr>
          <w:p w14:paraId="3AA976A8" w14:textId="77777777" w:rsidR="00BE43DA" w:rsidRPr="007F54B3" w:rsidRDefault="00BE43DA" w:rsidP="00200484">
            <w:pPr>
              <w:rPr>
                <w:rFonts w:ascii="Aptos" w:hAnsi="Aptos"/>
                <w:sz w:val="22"/>
                <w:szCs w:val="22"/>
                <w:lang w:eastAsia="en-US"/>
              </w:rPr>
            </w:pPr>
          </w:p>
        </w:tc>
        <w:tc>
          <w:tcPr>
            <w:tcW w:w="746" w:type="dxa"/>
            <w:tcBorders>
              <w:top w:val="nil"/>
              <w:bottom w:val="nil"/>
              <w:right w:val="nil"/>
            </w:tcBorders>
          </w:tcPr>
          <w:p w14:paraId="1239EE77" w14:textId="77777777" w:rsidR="00BE43DA" w:rsidRPr="007F54B3" w:rsidRDefault="00BE43DA" w:rsidP="00200484">
            <w:pPr>
              <w:rPr>
                <w:rFonts w:ascii="Aptos" w:hAnsi="Aptos" w:cs="Poppins"/>
                <w:iCs/>
                <w:sz w:val="22"/>
                <w:szCs w:val="22"/>
              </w:rPr>
            </w:pPr>
          </w:p>
        </w:tc>
        <w:tc>
          <w:tcPr>
            <w:tcW w:w="6680" w:type="dxa"/>
            <w:tcBorders>
              <w:top w:val="nil"/>
              <w:left w:val="nil"/>
              <w:bottom w:val="nil"/>
              <w:right w:val="nil"/>
            </w:tcBorders>
          </w:tcPr>
          <w:p w14:paraId="537E0021" w14:textId="6007BEE6" w:rsidR="00BE43DA" w:rsidRPr="007F54B3" w:rsidRDefault="00BE43DA" w:rsidP="00200484">
            <w:pPr>
              <w:rPr>
                <w:rFonts w:ascii="Aptos" w:hAnsi="Aptos" w:cs="Poppins"/>
                <w:iCs/>
                <w:sz w:val="22"/>
                <w:szCs w:val="22"/>
              </w:rPr>
            </w:pPr>
            <w:r w:rsidRPr="007F54B3">
              <w:rPr>
                <w:rFonts w:ascii="Aptos" w:hAnsi="Aptos" w:cs="Poppins"/>
                <w:iCs/>
                <w:sz w:val="22"/>
                <w:szCs w:val="22"/>
              </w:rPr>
              <w:t>voix contre</w:t>
            </w:r>
          </w:p>
        </w:tc>
      </w:tr>
      <w:tr w:rsidR="00BE43DA" w:rsidRPr="007F54B3" w14:paraId="23AAA5CC" w14:textId="77777777" w:rsidTr="00CD0790">
        <w:trPr>
          <w:trHeight w:val="90"/>
        </w:trPr>
        <w:tc>
          <w:tcPr>
            <w:tcW w:w="955" w:type="dxa"/>
            <w:vMerge/>
            <w:tcBorders>
              <w:left w:val="nil"/>
            </w:tcBorders>
          </w:tcPr>
          <w:p w14:paraId="2A1205E9" w14:textId="77777777" w:rsidR="00BE43DA" w:rsidRPr="007F54B3" w:rsidRDefault="00BE43DA" w:rsidP="00200484">
            <w:pPr>
              <w:rPr>
                <w:rFonts w:ascii="Aptos" w:hAnsi="Aptos"/>
                <w:sz w:val="22"/>
                <w:szCs w:val="22"/>
                <w:lang w:eastAsia="en-US"/>
              </w:rPr>
            </w:pPr>
          </w:p>
        </w:tc>
        <w:tc>
          <w:tcPr>
            <w:tcW w:w="746" w:type="dxa"/>
            <w:tcBorders>
              <w:top w:val="nil"/>
              <w:right w:val="nil"/>
            </w:tcBorders>
          </w:tcPr>
          <w:p w14:paraId="107990FE" w14:textId="77777777" w:rsidR="00BE43DA" w:rsidRPr="007F54B3" w:rsidRDefault="00BE43DA" w:rsidP="00200484">
            <w:pPr>
              <w:rPr>
                <w:rFonts w:ascii="Aptos" w:hAnsi="Aptos" w:cs="Poppins"/>
                <w:iCs/>
                <w:sz w:val="22"/>
                <w:szCs w:val="22"/>
              </w:rPr>
            </w:pPr>
          </w:p>
        </w:tc>
        <w:tc>
          <w:tcPr>
            <w:tcW w:w="6680" w:type="dxa"/>
            <w:tcBorders>
              <w:top w:val="nil"/>
              <w:left w:val="nil"/>
              <w:right w:val="nil"/>
            </w:tcBorders>
          </w:tcPr>
          <w:p w14:paraId="22BC0F7B" w14:textId="60538A60" w:rsidR="00BE43DA" w:rsidRPr="007F54B3" w:rsidRDefault="00BE43DA" w:rsidP="00200484">
            <w:pPr>
              <w:rPr>
                <w:rFonts w:ascii="Aptos" w:hAnsi="Aptos" w:cs="Poppins"/>
                <w:iCs/>
                <w:sz w:val="22"/>
                <w:szCs w:val="22"/>
              </w:rPr>
            </w:pPr>
            <w:r w:rsidRPr="007F54B3">
              <w:rPr>
                <w:rFonts w:ascii="Aptos" w:hAnsi="Aptos" w:cs="Poppins"/>
                <w:iCs/>
                <w:sz w:val="22"/>
                <w:szCs w:val="22"/>
              </w:rPr>
              <w:t>abstention(s)</w:t>
            </w:r>
          </w:p>
        </w:tc>
      </w:tr>
    </w:tbl>
    <w:p w14:paraId="19B41ED1" w14:textId="77777777" w:rsidR="005656A9" w:rsidRPr="007F54B3" w:rsidRDefault="005656A9" w:rsidP="003F2CD1">
      <w:pPr>
        <w:rPr>
          <w:rFonts w:ascii="Aptos" w:hAnsi="Aptos" w:cs="Poppins"/>
          <w:iCs/>
          <w:sz w:val="22"/>
          <w:szCs w:val="22"/>
        </w:rPr>
      </w:pPr>
    </w:p>
    <w:p w14:paraId="09AC53B8" w14:textId="77777777" w:rsidR="003F2CD1" w:rsidRPr="007F54B3" w:rsidRDefault="003F2CD1" w:rsidP="003F2CD1">
      <w:pPr>
        <w:ind w:firstLine="708"/>
        <w:rPr>
          <w:rFonts w:ascii="Aptos" w:hAnsi="Aptos" w:cs="Poppins"/>
          <w:iCs/>
          <w:sz w:val="22"/>
          <w:szCs w:val="22"/>
        </w:rPr>
      </w:pPr>
    </w:p>
    <w:p w14:paraId="7DA8EA39" w14:textId="77777777" w:rsidR="005656A9" w:rsidRPr="007F54B3" w:rsidRDefault="005656A9" w:rsidP="003F2CD1">
      <w:pPr>
        <w:ind w:firstLine="708"/>
        <w:rPr>
          <w:rFonts w:ascii="Aptos" w:hAnsi="Aptos" w:cs="Poppins"/>
          <w:iCs/>
          <w:sz w:val="22"/>
          <w:szCs w:val="22"/>
        </w:rPr>
      </w:pPr>
    </w:p>
    <w:p w14:paraId="2BAFFDB6" w14:textId="77777777" w:rsidR="003F2CD1" w:rsidRPr="007F54B3" w:rsidRDefault="003F2CD1" w:rsidP="008C5CD9">
      <w:pPr>
        <w:jc w:val="both"/>
        <w:rPr>
          <w:rFonts w:ascii="Aptos" w:hAnsi="Aptos"/>
          <w:bCs/>
          <w:sz w:val="22"/>
          <w:szCs w:val="22"/>
          <w:lang w:eastAsia="en-US"/>
        </w:rPr>
      </w:pPr>
    </w:p>
    <w:p w14:paraId="2BBFD5F5" w14:textId="77777777" w:rsidR="003227BF" w:rsidRPr="007F54B3" w:rsidRDefault="003227BF" w:rsidP="003227BF">
      <w:pPr>
        <w:ind w:left="4820"/>
        <w:rPr>
          <w:rFonts w:ascii="Aptos" w:hAnsi="Aptos"/>
          <w:bCs/>
          <w:sz w:val="22"/>
          <w:szCs w:val="22"/>
          <w:lang w:eastAsia="en-US"/>
        </w:rPr>
      </w:pPr>
      <w:r w:rsidRPr="007F54B3">
        <w:rPr>
          <w:rFonts w:ascii="Aptos" w:hAnsi="Aptos"/>
          <w:bCs/>
          <w:sz w:val="22"/>
          <w:szCs w:val="22"/>
          <w:lang w:eastAsia="en-US"/>
        </w:rPr>
        <w:t>Fait à …………………. le …………………………….,</w:t>
      </w:r>
    </w:p>
    <w:p w14:paraId="797FE4A7" w14:textId="77777777" w:rsidR="003227BF" w:rsidRPr="007F54B3" w:rsidRDefault="003227BF" w:rsidP="003227BF">
      <w:pPr>
        <w:rPr>
          <w:rFonts w:ascii="Aptos" w:hAnsi="Aptos" w:cs="Poppins"/>
          <w:iCs/>
          <w:sz w:val="22"/>
          <w:szCs w:val="22"/>
        </w:rPr>
      </w:pPr>
    </w:p>
    <w:p w14:paraId="3A73D3E7" w14:textId="77777777" w:rsidR="003227BF" w:rsidRPr="007F54B3" w:rsidRDefault="003227BF" w:rsidP="003227BF">
      <w:pPr>
        <w:ind w:left="4820"/>
        <w:rPr>
          <w:rFonts w:ascii="Aptos" w:hAnsi="Aptos"/>
          <w:bCs/>
          <w:sz w:val="22"/>
          <w:szCs w:val="22"/>
          <w:lang w:eastAsia="en-US"/>
        </w:rPr>
      </w:pPr>
      <w:r w:rsidRPr="007F54B3">
        <w:rPr>
          <w:rFonts w:ascii="Aptos" w:hAnsi="Aptos"/>
          <w:bCs/>
          <w:sz w:val="22"/>
          <w:szCs w:val="22"/>
          <w:lang w:eastAsia="en-US"/>
        </w:rPr>
        <w:t>Le Maire (ou le Président)</w:t>
      </w:r>
    </w:p>
    <w:p w14:paraId="08951ADD" w14:textId="77777777" w:rsidR="003227BF" w:rsidRPr="007F54B3" w:rsidRDefault="003227BF" w:rsidP="003227BF">
      <w:pPr>
        <w:ind w:left="4820"/>
        <w:rPr>
          <w:rFonts w:ascii="Aptos" w:hAnsi="Aptos"/>
          <w:bCs/>
          <w:sz w:val="22"/>
          <w:szCs w:val="22"/>
          <w:lang w:eastAsia="en-US"/>
        </w:rPr>
      </w:pPr>
      <w:r w:rsidRPr="007F54B3">
        <w:rPr>
          <w:rFonts w:ascii="Aptos" w:hAnsi="Aptos"/>
          <w:bCs/>
          <w:sz w:val="22"/>
          <w:szCs w:val="22"/>
          <w:lang w:eastAsia="en-US"/>
        </w:rPr>
        <w:t>(Prénom, nom lisibles et signature)</w:t>
      </w:r>
    </w:p>
    <w:p w14:paraId="23906C40" w14:textId="77777777" w:rsidR="00E963A3" w:rsidRPr="007F54B3" w:rsidRDefault="00E963A3" w:rsidP="008C5CD9">
      <w:pPr>
        <w:jc w:val="both"/>
        <w:rPr>
          <w:rFonts w:ascii="Aptos" w:hAnsi="Aptos"/>
          <w:bCs/>
          <w:sz w:val="22"/>
          <w:szCs w:val="22"/>
          <w:lang w:eastAsia="en-US"/>
        </w:rPr>
      </w:pPr>
    </w:p>
    <w:sectPr w:rsidR="00E963A3" w:rsidRPr="007F54B3" w:rsidSect="00D7142A">
      <w:headerReference w:type="even" r:id="rId10"/>
      <w:headerReference w:type="default" r:id="rId11"/>
      <w:footerReference w:type="default" r:id="rId12"/>
      <w:headerReference w:type="first" r:id="rId13"/>
      <w:pgSz w:w="11905" w:h="16837"/>
      <w:pgMar w:top="993"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C034A" w14:textId="77777777" w:rsidR="008B3A3C" w:rsidRDefault="008B3A3C" w:rsidP="0027258D">
      <w:r>
        <w:separator/>
      </w:r>
    </w:p>
  </w:endnote>
  <w:endnote w:type="continuationSeparator" w:id="0">
    <w:p w14:paraId="0A743F74" w14:textId="77777777" w:rsidR="008B3A3C" w:rsidRDefault="008B3A3C" w:rsidP="00272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A00002AF" w:usb1="5000204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6A7E" w14:textId="77777777" w:rsidR="001B1A14" w:rsidRPr="00E32228" w:rsidRDefault="001B1A14" w:rsidP="001B1A14">
    <w:pPr>
      <w:pStyle w:val="Pieddepage"/>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7A9AC" w14:textId="77777777" w:rsidR="008B3A3C" w:rsidRDefault="008B3A3C" w:rsidP="0027258D">
      <w:r>
        <w:separator/>
      </w:r>
    </w:p>
  </w:footnote>
  <w:footnote w:type="continuationSeparator" w:id="0">
    <w:p w14:paraId="2711EF98" w14:textId="77777777" w:rsidR="008B3A3C" w:rsidRDefault="008B3A3C" w:rsidP="00272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CE3C7" w14:textId="6E5D252E" w:rsidR="00C26B81" w:rsidRDefault="00000000">
    <w:pPr>
      <w:pStyle w:val="En-tte"/>
    </w:pPr>
    <w:r>
      <w:rPr>
        <w:noProof/>
      </w:rPr>
      <w:pict w14:anchorId="36B8E6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37610" o:spid="_x0000_s1026" type="#_x0000_t136" style="position:absolute;margin-left:0;margin-top:0;width:497.35pt;height:142.1pt;rotation:315;z-index:-251658239;mso-position-horizontal:center;mso-position-horizontal-relative:margin;mso-position-vertical:center;mso-position-vertical-relative:margin" o:allowincell="f" fillcolor="silver" stroked="f">
          <v:fill opacity=".5"/>
          <v:textpath style="font-family:&quot;Times New Roman&quot;;font-size:1pt" string="MODE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CF0CC" w14:textId="376DA2D8" w:rsidR="0069266E" w:rsidRPr="005F339E" w:rsidRDefault="00290C29" w:rsidP="0069266E">
    <w:pPr>
      <w:pStyle w:val="En-tte"/>
    </w:pPr>
    <w:r w:rsidRPr="00290C29">
      <w:rPr>
        <w:noProof/>
      </w:rPr>
      <w:drawing>
        <wp:inline distT="0" distB="0" distL="0" distR="0" wp14:anchorId="040D1BD4" wp14:editId="489A9C58">
          <wp:extent cx="1086104" cy="542925"/>
          <wp:effectExtent l="0" t="0" r="0" b="0"/>
          <wp:docPr id="3" name="Image 2" descr="Une image contenant texte, Police, logo, Graphique&#10;&#10;Description générée automatiquement">
            <a:extLst xmlns:a="http://schemas.openxmlformats.org/drawingml/2006/main">
              <a:ext uri="{FF2B5EF4-FFF2-40B4-BE49-F238E27FC236}">
                <a16:creationId xmlns:a16="http://schemas.microsoft.com/office/drawing/2014/main" id="{B371BD15-D417-0CA0-26AC-299AB2E9C4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Une image contenant texte, Police, logo, Graphique&#10;&#10;Description générée automatiquement">
                    <a:extLst>
                      <a:ext uri="{FF2B5EF4-FFF2-40B4-BE49-F238E27FC236}">
                        <a16:creationId xmlns:a16="http://schemas.microsoft.com/office/drawing/2014/main" id="{B371BD15-D417-0CA0-26AC-299AB2E9C499}"/>
                      </a:ext>
                    </a:extLst>
                  </pic:cNvPr>
                  <pic:cNvPicPr>
                    <a:picLocks noChangeAspect="1"/>
                  </pic:cNvPicPr>
                </pic:nvPicPr>
                <pic:blipFill>
                  <a:blip r:embed="rId1"/>
                  <a:stretch>
                    <a:fillRect/>
                  </a:stretch>
                </pic:blipFill>
                <pic:spPr>
                  <a:xfrm>
                    <a:off x="0" y="0"/>
                    <a:ext cx="1094334" cy="547039"/>
                  </a:xfrm>
                  <a:prstGeom prst="rect">
                    <a:avLst/>
                  </a:prstGeom>
                </pic:spPr>
              </pic:pic>
            </a:graphicData>
          </a:graphic>
        </wp:inline>
      </w:drawing>
    </w:r>
  </w:p>
  <w:p w14:paraId="209DD8C4" w14:textId="689995E8" w:rsidR="001B1A14" w:rsidRDefault="00000000" w:rsidP="001B1A14">
    <w:pPr>
      <w:pStyle w:val="En-tte"/>
      <w:ind w:left="-851"/>
    </w:pPr>
    <w:r>
      <w:rPr>
        <w:noProof/>
      </w:rPr>
      <w:pict w14:anchorId="7E323E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37611" o:spid="_x0000_s1027" type="#_x0000_t136" style="position:absolute;left:0;text-align:left;margin-left:0;margin-top:0;width:497.35pt;height:142.1pt;rotation:315;z-index:-251658238;mso-position-horizontal:center;mso-position-horizontal-relative:margin;mso-position-vertical:center;mso-position-vertical-relative:margin" o:allowincell="f" fillcolor="silver" stroked="f">
          <v:fill opacity=".5"/>
          <v:textpath style="font-family:&quot;Times New Roman&quot;;font-size:1pt" string="MODE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29CA" w14:textId="5FBEE287" w:rsidR="00C26B81" w:rsidRDefault="00000000">
    <w:pPr>
      <w:pStyle w:val="En-tte"/>
    </w:pPr>
    <w:r>
      <w:rPr>
        <w:noProof/>
      </w:rPr>
      <w:pict w14:anchorId="31A9F2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37609" o:spid="_x0000_s1025" type="#_x0000_t136" style="position:absolute;margin-left:0;margin-top:0;width:497.35pt;height:142.1pt;rotation:315;z-index:-251658240;mso-position-horizontal:center;mso-position-horizontal-relative:margin;mso-position-vertical:center;mso-position-vertical-relative:margin" o:allowincell="f" fillcolor="silver" stroked="f">
          <v:fill opacity=".5"/>
          <v:textpath style="font-family:&quot;Times New Roman&quot;;font-size:1pt" string="MODE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Symbol" w:hAnsi="Symbol" w:cs="Symbol"/>
        <w:sz w:val="20"/>
      </w:rPr>
    </w:lvl>
  </w:abstractNum>
  <w:abstractNum w:abstractNumId="1" w15:restartNumberingAfterBreak="0">
    <w:nsid w:val="0C901C3E"/>
    <w:multiLevelType w:val="hybridMultilevel"/>
    <w:tmpl w:val="C2B8A5F4"/>
    <w:lvl w:ilvl="0" w:tplc="87043040">
      <w:start w:val="1"/>
      <w:numFmt w:val="bullet"/>
      <w:lvlText w:val=""/>
      <w:lvlJc w:val="left"/>
      <w:pPr>
        <w:ind w:left="720" w:hanging="360"/>
      </w:pPr>
      <w:rPr>
        <w:rFonts w:ascii="Wingdings" w:hAnsi="Wingdings"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E3D673E"/>
    <w:multiLevelType w:val="hybridMultilevel"/>
    <w:tmpl w:val="EC66BF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A274CA"/>
    <w:multiLevelType w:val="hybridMultilevel"/>
    <w:tmpl w:val="66A441DE"/>
    <w:lvl w:ilvl="0" w:tplc="D84456B4">
      <w:numFmt w:val="bullet"/>
      <w:lvlText w:val="-"/>
      <w:lvlJc w:val="left"/>
      <w:pPr>
        <w:ind w:left="644" w:hanging="360"/>
      </w:pPr>
      <w:rPr>
        <w:rFonts w:ascii="Trebuchet MS" w:eastAsia="Times New Roman" w:hAnsi="Trebuchet MS" w:cs="Times New Roman" w:hint="default"/>
        <w:b/>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4" w15:restartNumberingAfterBreak="0">
    <w:nsid w:val="1E2115DB"/>
    <w:multiLevelType w:val="hybridMultilevel"/>
    <w:tmpl w:val="9670DACC"/>
    <w:lvl w:ilvl="0" w:tplc="457ACE2A">
      <w:numFmt w:val="bullet"/>
      <w:lvlText w:val="-"/>
      <w:lvlJc w:val="left"/>
      <w:pPr>
        <w:ind w:left="720" w:hanging="360"/>
      </w:pPr>
      <w:rPr>
        <w:rFonts w:ascii="Trebuchet MS" w:eastAsia="Times New Roman" w:hAnsi="Trebuchet M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213951BC"/>
    <w:multiLevelType w:val="hybridMultilevel"/>
    <w:tmpl w:val="46D25BE8"/>
    <w:lvl w:ilvl="0" w:tplc="8F345DB4">
      <w:start w:val="1"/>
      <w:numFmt w:val="bullet"/>
      <w:lvlText w:val="-"/>
      <w:lvlJc w:val="left"/>
      <w:pPr>
        <w:ind w:left="644" w:hanging="360"/>
      </w:pPr>
      <w:rPr>
        <w:rFonts w:ascii="Trebuchet MS" w:hAnsi="Trebuchet MS" w:hint="default"/>
        <w:b/>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6" w15:restartNumberingAfterBreak="0">
    <w:nsid w:val="257F2803"/>
    <w:multiLevelType w:val="hybridMultilevel"/>
    <w:tmpl w:val="C5106B96"/>
    <w:lvl w:ilvl="0" w:tplc="5EE270FA">
      <w:numFmt w:val="bullet"/>
      <w:lvlText w:val="-"/>
      <w:lvlJc w:val="left"/>
      <w:pPr>
        <w:ind w:left="1068" w:hanging="360"/>
      </w:pPr>
      <w:rPr>
        <w:rFonts w:ascii="Trebuchet MS" w:eastAsia="Times New Roman" w:hAnsi="Trebuchet MS"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26CD4D21"/>
    <w:multiLevelType w:val="hybridMultilevel"/>
    <w:tmpl w:val="65503FD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2E16343E"/>
    <w:multiLevelType w:val="hybridMultilevel"/>
    <w:tmpl w:val="CCFEDE3C"/>
    <w:lvl w:ilvl="0" w:tplc="D84456B4">
      <w:numFmt w:val="bullet"/>
      <w:lvlText w:val="-"/>
      <w:lvlJc w:val="left"/>
      <w:pPr>
        <w:ind w:left="502" w:hanging="360"/>
      </w:pPr>
      <w:rPr>
        <w:rFonts w:ascii="Trebuchet MS" w:eastAsia="Times New Roman" w:hAnsi="Trebuchet MS" w:cs="Times New Roman" w:hint="default"/>
        <w:b/>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9" w15:restartNumberingAfterBreak="0">
    <w:nsid w:val="35D02CCC"/>
    <w:multiLevelType w:val="hybridMultilevel"/>
    <w:tmpl w:val="7FA2CD86"/>
    <w:lvl w:ilvl="0" w:tplc="23C24D5E">
      <w:start w:val="1"/>
      <w:numFmt w:val="bullet"/>
      <w:lvlText w:val=""/>
      <w:lvlJc w:val="left"/>
      <w:pPr>
        <w:ind w:left="720" w:hanging="360"/>
      </w:pPr>
      <w:rPr>
        <w:rFonts w:ascii="Wingdings" w:hAnsi="Wingdings" w:hint="default"/>
        <w:color w:val="C0000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4B92F4F"/>
    <w:multiLevelType w:val="hybridMultilevel"/>
    <w:tmpl w:val="D848CBC2"/>
    <w:lvl w:ilvl="0" w:tplc="9A12210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7D62ED9"/>
    <w:multiLevelType w:val="hybridMultilevel"/>
    <w:tmpl w:val="0C940D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8A47BB0"/>
    <w:multiLevelType w:val="hybridMultilevel"/>
    <w:tmpl w:val="5EEACE2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3" w15:restartNumberingAfterBreak="0">
    <w:nsid w:val="4E3B6EA3"/>
    <w:multiLevelType w:val="hybridMultilevel"/>
    <w:tmpl w:val="627C82BC"/>
    <w:lvl w:ilvl="0" w:tplc="87043040">
      <w:start w:val="1"/>
      <w:numFmt w:val="bullet"/>
      <w:lvlText w:val=""/>
      <w:lvlJc w:val="left"/>
      <w:pPr>
        <w:ind w:left="1428" w:hanging="360"/>
      </w:pPr>
      <w:rPr>
        <w:rFonts w:ascii="Wingdings" w:hAnsi="Wingdings" w:hint="default"/>
        <w:b/>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4" w15:restartNumberingAfterBreak="0">
    <w:nsid w:val="5386072E"/>
    <w:multiLevelType w:val="hybridMultilevel"/>
    <w:tmpl w:val="3F087E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FB165E0"/>
    <w:multiLevelType w:val="hybridMultilevel"/>
    <w:tmpl w:val="335CC464"/>
    <w:lvl w:ilvl="0" w:tplc="D84456B4">
      <w:numFmt w:val="bullet"/>
      <w:lvlText w:val="-"/>
      <w:lvlJc w:val="left"/>
      <w:pPr>
        <w:ind w:left="502" w:hanging="360"/>
      </w:pPr>
      <w:rPr>
        <w:rFonts w:ascii="Trebuchet MS" w:eastAsia="Times New Roman" w:hAnsi="Trebuchet MS"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01C520A"/>
    <w:multiLevelType w:val="hybridMultilevel"/>
    <w:tmpl w:val="FB940436"/>
    <w:lvl w:ilvl="0" w:tplc="2E4C8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DD71F58"/>
    <w:multiLevelType w:val="hybridMultilevel"/>
    <w:tmpl w:val="37285AA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E847C7E"/>
    <w:multiLevelType w:val="hybridMultilevel"/>
    <w:tmpl w:val="369C6E52"/>
    <w:lvl w:ilvl="0" w:tplc="F0769B96">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EF755D2"/>
    <w:multiLevelType w:val="hybridMultilevel"/>
    <w:tmpl w:val="5C905CAC"/>
    <w:lvl w:ilvl="0" w:tplc="8F345DB4">
      <w:start w:val="1"/>
      <w:numFmt w:val="bullet"/>
      <w:lvlText w:val="-"/>
      <w:lvlJc w:val="left"/>
      <w:pPr>
        <w:ind w:left="720" w:hanging="360"/>
      </w:pPr>
      <w:rPr>
        <w:rFonts w:ascii="Trebuchet MS" w:hAnsi="Trebuchet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F210DD9"/>
    <w:multiLevelType w:val="hybridMultilevel"/>
    <w:tmpl w:val="FE466E1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1" w15:restartNumberingAfterBreak="0">
    <w:nsid w:val="748E4ED2"/>
    <w:multiLevelType w:val="hybridMultilevel"/>
    <w:tmpl w:val="44086B56"/>
    <w:lvl w:ilvl="0" w:tplc="D84456B4">
      <w:numFmt w:val="bullet"/>
      <w:lvlText w:val="-"/>
      <w:lvlJc w:val="left"/>
      <w:pPr>
        <w:ind w:left="644" w:hanging="360"/>
      </w:pPr>
      <w:rPr>
        <w:rFonts w:ascii="Trebuchet MS" w:eastAsia="Times New Roman" w:hAnsi="Trebuchet MS" w:cs="Times New Roman" w:hint="default"/>
        <w:b/>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2" w15:restartNumberingAfterBreak="0">
    <w:nsid w:val="7F0D5E0B"/>
    <w:multiLevelType w:val="hybridMultilevel"/>
    <w:tmpl w:val="7E7E4F2E"/>
    <w:lvl w:ilvl="0" w:tplc="040C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num w:numId="1" w16cid:durableId="45422053">
    <w:abstractNumId w:val="11"/>
  </w:num>
  <w:num w:numId="2" w16cid:durableId="1514565989">
    <w:abstractNumId w:val="19"/>
  </w:num>
  <w:num w:numId="3" w16cid:durableId="2145805334">
    <w:abstractNumId w:val="18"/>
  </w:num>
  <w:num w:numId="4" w16cid:durableId="624847418">
    <w:abstractNumId w:val="4"/>
  </w:num>
  <w:num w:numId="5" w16cid:durableId="1540580948">
    <w:abstractNumId w:val="1"/>
  </w:num>
  <w:num w:numId="6" w16cid:durableId="2045977722">
    <w:abstractNumId w:val="7"/>
  </w:num>
  <w:num w:numId="7" w16cid:durableId="1928883755">
    <w:abstractNumId w:val="1"/>
  </w:num>
  <w:num w:numId="8" w16cid:durableId="356083703">
    <w:abstractNumId w:val="14"/>
  </w:num>
  <w:num w:numId="9" w16cid:durableId="1522354344">
    <w:abstractNumId w:val="6"/>
  </w:num>
  <w:num w:numId="10" w16cid:durableId="2014648359">
    <w:abstractNumId w:val="12"/>
  </w:num>
  <w:num w:numId="11" w16cid:durableId="294411137">
    <w:abstractNumId w:val="22"/>
  </w:num>
  <w:num w:numId="12" w16cid:durableId="1022364998">
    <w:abstractNumId w:val="20"/>
  </w:num>
  <w:num w:numId="13" w16cid:durableId="114522957">
    <w:abstractNumId w:val="2"/>
  </w:num>
  <w:num w:numId="14" w16cid:durableId="1440297142">
    <w:abstractNumId w:val="8"/>
  </w:num>
  <w:num w:numId="15" w16cid:durableId="137497592">
    <w:abstractNumId w:val="15"/>
  </w:num>
  <w:num w:numId="16" w16cid:durableId="2116554703">
    <w:abstractNumId w:val="3"/>
  </w:num>
  <w:num w:numId="17" w16cid:durableId="1828932078">
    <w:abstractNumId w:val="21"/>
  </w:num>
  <w:num w:numId="18" w16cid:durableId="995717915">
    <w:abstractNumId w:val="13"/>
  </w:num>
  <w:num w:numId="19" w16cid:durableId="1511946647">
    <w:abstractNumId w:val="16"/>
  </w:num>
  <w:num w:numId="20" w16cid:durableId="1011184990">
    <w:abstractNumId w:val="0"/>
  </w:num>
  <w:num w:numId="21" w16cid:durableId="947204238">
    <w:abstractNumId w:val="17"/>
  </w:num>
  <w:num w:numId="22" w16cid:durableId="320043605">
    <w:abstractNumId w:val="10"/>
  </w:num>
  <w:num w:numId="23" w16cid:durableId="1589851086">
    <w:abstractNumId w:val="5"/>
  </w:num>
  <w:num w:numId="24" w16cid:durableId="10192367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58D"/>
    <w:rsid w:val="00000662"/>
    <w:rsid w:val="00024F44"/>
    <w:rsid w:val="00026108"/>
    <w:rsid w:val="000323C7"/>
    <w:rsid w:val="000415BB"/>
    <w:rsid w:val="00046A73"/>
    <w:rsid w:val="00051B2D"/>
    <w:rsid w:val="000561E8"/>
    <w:rsid w:val="00057F59"/>
    <w:rsid w:val="00057F95"/>
    <w:rsid w:val="00061763"/>
    <w:rsid w:val="00061806"/>
    <w:rsid w:val="00073114"/>
    <w:rsid w:val="000A596C"/>
    <w:rsid w:val="000C1F52"/>
    <w:rsid w:val="000D1D1F"/>
    <w:rsid w:val="000D2490"/>
    <w:rsid w:val="000E5DBA"/>
    <w:rsid w:val="000F7D2A"/>
    <w:rsid w:val="00101D91"/>
    <w:rsid w:val="00104896"/>
    <w:rsid w:val="001135B5"/>
    <w:rsid w:val="00124E93"/>
    <w:rsid w:val="0012517D"/>
    <w:rsid w:val="00126060"/>
    <w:rsid w:val="00146618"/>
    <w:rsid w:val="001634F9"/>
    <w:rsid w:val="00165027"/>
    <w:rsid w:val="00165365"/>
    <w:rsid w:val="0017396D"/>
    <w:rsid w:val="001923C1"/>
    <w:rsid w:val="001B1609"/>
    <w:rsid w:val="001B1A14"/>
    <w:rsid w:val="001B4143"/>
    <w:rsid w:val="001C1AEB"/>
    <w:rsid w:val="001D4310"/>
    <w:rsid w:val="001F6CD4"/>
    <w:rsid w:val="002005A0"/>
    <w:rsid w:val="0021179F"/>
    <w:rsid w:val="00217C9F"/>
    <w:rsid w:val="00241527"/>
    <w:rsid w:val="00265D2B"/>
    <w:rsid w:val="0027258D"/>
    <w:rsid w:val="00290C29"/>
    <w:rsid w:val="002B028A"/>
    <w:rsid w:val="002B02A1"/>
    <w:rsid w:val="002C00C7"/>
    <w:rsid w:val="002E1B4B"/>
    <w:rsid w:val="002F09BE"/>
    <w:rsid w:val="002F1720"/>
    <w:rsid w:val="002F61FE"/>
    <w:rsid w:val="00304807"/>
    <w:rsid w:val="003227BF"/>
    <w:rsid w:val="00335856"/>
    <w:rsid w:val="00344039"/>
    <w:rsid w:val="00344060"/>
    <w:rsid w:val="003526EA"/>
    <w:rsid w:val="00352E62"/>
    <w:rsid w:val="00372964"/>
    <w:rsid w:val="00377280"/>
    <w:rsid w:val="003936DB"/>
    <w:rsid w:val="00397405"/>
    <w:rsid w:val="003A27D2"/>
    <w:rsid w:val="003A45B0"/>
    <w:rsid w:val="003B2778"/>
    <w:rsid w:val="003E5613"/>
    <w:rsid w:val="003E7F6A"/>
    <w:rsid w:val="003F2CD1"/>
    <w:rsid w:val="004013F3"/>
    <w:rsid w:val="00411DF5"/>
    <w:rsid w:val="00414759"/>
    <w:rsid w:val="00415DE1"/>
    <w:rsid w:val="00416E0B"/>
    <w:rsid w:val="0043282E"/>
    <w:rsid w:val="004333FA"/>
    <w:rsid w:val="004571A6"/>
    <w:rsid w:val="004867AA"/>
    <w:rsid w:val="00496D4A"/>
    <w:rsid w:val="004A6BEA"/>
    <w:rsid w:val="004C4172"/>
    <w:rsid w:val="004D5B20"/>
    <w:rsid w:val="004F421A"/>
    <w:rsid w:val="005106C6"/>
    <w:rsid w:val="00515646"/>
    <w:rsid w:val="0052454E"/>
    <w:rsid w:val="00530A75"/>
    <w:rsid w:val="00552D86"/>
    <w:rsid w:val="005656A9"/>
    <w:rsid w:val="0058178B"/>
    <w:rsid w:val="00583E63"/>
    <w:rsid w:val="005A0A42"/>
    <w:rsid w:val="005B3C09"/>
    <w:rsid w:val="0062159B"/>
    <w:rsid w:val="006220B8"/>
    <w:rsid w:val="00634362"/>
    <w:rsid w:val="0063489C"/>
    <w:rsid w:val="00646F80"/>
    <w:rsid w:val="00671C0E"/>
    <w:rsid w:val="0069266E"/>
    <w:rsid w:val="006954B1"/>
    <w:rsid w:val="006A03E2"/>
    <w:rsid w:val="006A4DFC"/>
    <w:rsid w:val="006B1184"/>
    <w:rsid w:val="006B51B3"/>
    <w:rsid w:val="006C22E3"/>
    <w:rsid w:val="006C3710"/>
    <w:rsid w:val="006D6F37"/>
    <w:rsid w:val="006E355E"/>
    <w:rsid w:val="006E5065"/>
    <w:rsid w:val="006E6336"/>
    <w:rsid w:val="006E763F"/>
    <w:rsid w:val="007206C4"/>
    <w:rsid w:val="007347EE"/>
    <w:rsid w:val="007549E0"/>
    <w:rsid w:val="0076194A"/>
    <w:rsid w:val="007645B8"/>
    <w:rsid w:val="007A0636"/>
    <w:rsid w:val="007C03ED"/>
    <w:rsid w:val="007C0EF4"/>
    <w:rsid w:val="007C1288"/>
    <w:rsid w:val="007E33F6"/>
    <w:rsid w:val="007E7F4C"/>
    <w:rsid w:val="007F54B3"/>
    <w:rsid w:val="007F5FDB"/>
    <w:rsid w:val="0080069D"/>
    <w:rsid w:val="00802641"/>
    <w:rsid w:val="00803C21"/>
    <w:rsid w:val="00804233"/>
    <w:rsid w:val="0081617F"/>
    <w:rsid w:val="00817543"/>
    <w:rsid w:val="00825A23"/>
    <w:rsid w:val="008437F5"/>
    <w:rsid w:val="008507CE"/>
    <w:rsid w:val="008521F2"/>
    <w:rsid w:val="00855C34"/>
    <w:rsid w:val="00866475"/>
    <w:rsid w:val="00895DB5"/>
    <w:rsid w:val="008A23E3"/>
    <w:rsid w:val="008B3A3C"/>
    <w:rsid w:val="008C5CD9"/>
    <w:rsid w:val="008C7639"/>
    <w:rsid w:val="008D7207"/>
    <w:rsid w:val="008F1353"/>
    <w:rsid w:val="008F68BF"/>
    <w:rsid w:val="00901541"/>
    <w:rsid w:val="009101A2"/>
    <w:rsid w:val="00911257"/>
    <w:rsid w:val="009126D0"/>
    <w:rsid w:val="00912729"/>
    <w:rsid w:val="00915A12"/>
    <w:rsid w:val="00916A12"/>
    <w:rsid w:val="00921277"/>
    <w:rsid w:val="0094057E"/>
    <w:rsid w:val="00950F09"/>
    <w:rsid w:val="00956DFB"/>
    <w:rsid w:val="009602BB"/>
    <w:rsid w:val="00961FAE"/>
    <w:rsid w:val="00963799"/>
    <w:rsid w:val="00974695"/>
    <w:rsid w:val="00977893"/>
    <w:rsid w:val="00983DF4"/>
    <w:rsid w:val="00991308"/>
    <w:rsid w:val="009A7BF8"/>
    <w:rsid w:val="009B6BCE"/>
    <w:rsid w:val="009D0DA7"/>
    <w:rsid w:val="009D5514"/>
    <w:rsid w:val="009E0CB2"/>
    <w:rsid w:val="009E2F5A"/>
    <w:rsid w:val="00A17640"/>
    <w:rsid w:val="00A24DAD"/>
    <w:rsid w:val="00A4037D"/>
    <w:rsid w:val="00A60619"/>
    <w:rsid w:val="00A6153F"/>
    <w:rsid w:val="00A835A6"/>
    <w:rsid w:val="00A86F1B"/>
    <w:rsid w:val="00A87A2B"/>
    <w:rsid w:val="00A9646F"/>
    <w:rsid w:val="00A965ED"/>
    <w:rsid w:val="00AA01BE"/>
    <w:rsid w:val="00AA5416"/>
    <w:rsid w:val="00AA6CE2"/>
    <w:rsid w:val="00AB1830"/>
    <w:rsid w:val="00AB2AFC"/>
    <w:rsid w:val="00AB52AC"/>
    <w:rsid w:val="00AE0687"/>
    <w:rsid w:val="00AE68AA"/>
    <w:rsid w:val="00AF23D0"/>
    <w:rsid w:val="00B17F4C"/>
    <w:rsid w:val="00B47F81"/>
    <w:rsid w:val="00B549FA"/>
    <w:rsid w:val="00B70516"/>
    <w:rsid w:val="00B775BA"/>
    <w:rsid w:val="00B804A5"/>
    <w:rsid w:val="00B80538"/>
    <w:rsid w:val="00B814FD"/>
    <w:rsid w:val="00B86A3B"/>
    <w:rsid w:val="00B97970"/>
    <w:rsid w:val="00BA2095"/>
    <w:rsid w:val="00BC0289"/>
    <w:rsid w:val="00BC13C1"/>
    <w:rsid w:val="00BD511E"/>
    <w:rsid w:val="00BE1B18"/>
    <w:rsid w:val="00BE43DA"/>
    <w:rsid w:val="00BF0739"/>
    <w:rsid w:val="00C10D6C"/>
    <w:rsid w:val="00C26B81"/>
    <w:rsid w:val="00C27832"/>
    <w:rsid w:val="00C422F7"/>
    <w:rsid w:val="00C42534"/>
    <w:rsid w:val="00C55CA2"/>
    <w:rsid w:val="00C66CD9"/>
    <w:rsid w:val="00C706AA"/>
    <w:rsid w:val="00C96AF1"/>
    <w:rsid w:val="00CA41A9"/>
    <w:rsid w:val="00CA765F"/>
    <w:rsid w:val="00CB201B"/>
    <w:rsid w:val="00CD0790"/>
    <w:rsid w:val="00CE1C9B"/>
    <w:rsid w:val="00CE2B78"/>
    <w:rsid w:val="00CE3741"/>
    <w:rsid w:val="00CE4441"/>
    <w:rsid w:val="00CE7C04"/>
    <w:rsid w:val="00CF19E5"/>
    <w:rsid w:val="00D0328D"/>
    <w:rsid w:val="00D11F34"/>
    <w:rsid w:val="00D16626"/>
    <w:rsid w:val="00D20264"/>
    <w:rsid w:val="00D41582"/>
    <w:rsid w:val="00D41A79"/>
    <w:rsid w:val="00D5589A"/>
    <w:rsid w:val="00D7142A"/>
    <w:rsid w:val="00D84EC9"/>
    <w:rsid w:val="00DB08E9"/>
    <w:rsid w:val="00DB2723"/>
    <w:rsid w:val="00DD7AA2"/>
    <w:rsid w:val="00DE322D"/>
    <w:rsid w:val="00DE3D65"/>
    <w:rsid w:val="00DE47C3"/>
    <w:rsid w:val="00DF2921"/>
    <w:rsid w:val="00DF7F6A"/>
    <w:rsid w:val="00E06145"/>
    <w:rsid w:val="00E140EE"/>
    <w:rsid w:val="00E22362"/>
    <w:rsid w:val="00E2364D"/>
    <w:rsid w:val="00E34978"/>
    <w:rsid w:val="00E35D77"/>
    <w:rsid w:val="00E4192C"/>
    <w:rsid w:val="00E42899"/>
    <w:rsid w:val="00E51918"/>
    <w:rsid w:val="00E52C89"/>
    <w:rsid w:val="00E67DD9"/>
    <w:rsid w:val="00E72BC2"/>
    <w:rsid w:val="00E82F97"/>
    <w:rsid w:val="00E855F2"/>
    <w:rsid w:val="00E963A3"/>
    <w:rsid w:val="00EB7D45"/>
    <w:rsid w:val="00EC3C63"/>
    <w:rsid w:val="00ED1F67"/>
    <w:rsid w:val="00EF10D1"/>
    <w:rsid w:val="00EF56F7"/>
    <w:rsid w:val="00F1566C"/>
    <w:rsid w:val="00F15DB2"/>
    <w:rsid w:val="00F2565C"/>
    <w:rsid w:val="00F312A8"/>
    <w:rsid w:val="00F31C29"/>
    <w:rsid w:val="00F40487"/>
    <w:rsid w:val="00F43885"/>
    <w:rsid w:val="00F4443C"/>
    <w:rsid w:val="00F5155B"/>
    <w:rsid w:val="00F549EF"/>
    <w:rsid w:val="00F7374E"/>
    <w:rsid w:val="00F82D49"/>
    <w:rsid w:val="00F846F6"/>
    <w:rsid w:val="00F870AF"/>
    <w:rsid w:val="00F91CE6"/>
    <w:rsid w:val="00F932E2"/>
    <w:rsid w:val="00FB2680"/>
    <w:rsid w:val="00FB4371"/>
    <w:rsid w:val="00FC0A5B"/>
    <w:rsid w:val="00FD0A4C"/>
    <w:rsid w:val="00FD5CB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DF155"/>
  <w15:docId w15:val="{71EE3C42-66A9-45C4-A72B-67747E2F8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095"/>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27258D"/>
    <w:pPr>
      <w:tabs>
        <w:tab w:val="center" w:pos="4536"/>
        <w:tab w:val="right" w:pos="9072"/>
      </w:tabs>
    </w:pPr>
  </w:style>
  <w:style w:type="character" w:customStyle="1" w:styleId="En-tteCar">
    <w:name w:val="En-tête Car"/>
    <w:basedOn w:val="Policepardfaut"/>
    <w:link w:val="En-tte"/>
    <w:rsid w:val="0027258D"/>
    <w:rPr>
      <w:rFonts w:ascii="Times New Roman" w:eastAsia="Times New Roman" w:hAnsi="Times New Roman" w:cs="Times New Roman"/>
      <w:sz w:val="24"/>
      <w:szCs w:val="24"/>
      <w:lang w:eastAsia="ar-SA"/>
    </w:rPr>
  </w:style>
  <w:style w:type="paragraph" w:styleId="Pieddepage">
    <w:name w:val="footer"/>
    <w:basedOn w:val="Normal"/>
    <w:link w:val="PieddepageCar"/>
    <w:rsid w:val="0027258D"/>
    <w:pPr>
      <w:tabs>
        <w:tab w:val="center" w:pos="4536"/>
        <w:tab w:val="right" w:pos="9072"/>
      </w:tabs>
    </w:pPr>
  </w:style>
  <w:style w:type="character" w:customStyle="1" w:styleId="PieddepageCar">
    <w:name w:val="Pied de page Car"/>
    <w:basedOn w:val="Policepardfaut"/>
    <w:link w:val="Pieddepage"/>
    <w:rsid w:val="0027258D"/>
    <w:rPr>
      <w:rFonts w:ascii="Times New Roman" w:eastAsia="Times New Roman" w:hAnsi="Times New Roman" w:cs="Times New Roman"/>
      <w:sz w:val="24"/>
      <w:szCs w:val="24"/>
      <w:lang w:eastAsia="ar-SA"/>
    </w:rPr>
  </w:style>
  <w:style w:type="character" w:styleId="Numrodepage">
    <w:name w:val="page number"/>
    <w:basedOn w:val="Policepardfaut"/>
    <w:rsid w:val="0027258D"/>
  </w:style>
  <w:style w:type="paragraph" w:styleId="Paragraphedeliste">
    <w:name w:val="List Paragraph"/>
    <w:basedOn w:val="Normal"/>
    <w:link w:val="ParagraphedelisteCar"/>
    <w:uiPriority w:val="34"/>
    <w:qFormat/>
    <w:rsid w:val="0027258D"/>
    <w:pPr>
      <w:ind w:left="720"/>
      <w:contextualSpacing/>
    </w:pPr>
  </w:style>
  <w:style w:type="character" w:styleId="Marquedecommentaire">
    <w:name w:val="annotation reference"/>
    <w:basedOn w:val="Policepardfaut"/>
    <w:uiPriority w:val="99"/>
    <w:semiHidden/>
    <w:unhideWhenUsed/>
    <w:rsid w:val="00352E62"/>
    <w:rPr>
      <w:sz w:val="16"/>
      <w:szCs w:val="16"/>
    </w:rPr>
  </w:style>
  <w:style w:type="paragraph" w:styleId="Commentaire">
    <w:name w:val="annotation text"/>
    <w:basedOn w:val="Normal"/>
    <w:link w:val="CommentaireCar"/>
    <w:uiPriority w:val="99"/>
    <w:semiHidden/>
    <w:unhideWhenUsed/>
    <w:rsid w:val="00352E62"/>
    <w:rPr>
      <w:sz w:val="20"/>
      <w:szCs w:val="20"/>
    </w:rPr>
  </w:style>
  <w:style w:type="character" w:customStyle="1" w:styleId="CommentaireCar">
    <w:name w:val="Commentaire Car"/>
    <w:basedOn w:val="Policepardfaut"/>
    <w:link w:val="Commentaire"/>
    <w:uiPriority w:val="99"/>
    <w:semiHidden/>
    <w:rsid w:val="00352E62"/>
    <w:rPr>
      <w:rFonts w:ascii="Times New Roman" w:eastAsia="Times New Roman" w:hAnsi="Times New Roman" w:cs="Times New Roman"/>
      <w:sz w:val="20"/>
      <w:szCs w:val="20"/>
      <w:lang w:eastAsia="ar-SA"/>
    </w:rPr>
  </w:style>
  <w:style w:type="paragraph" w:styleId="Objetducommentaire">
    <w:name w:val="annotation subject"/>
    <w:basedOn w:val="Commentaire"/>
    <w:next w:val="Commentaire"/>
    <w:link w:val="ObjetducommentaireCar"/>
    <w:uiPriority w:val="99"/>
    <w:semiHidden/>
    <w:unhideWhenUsed/>
    <w:rsid w:val="00352E62"/>
    <w:rPr>
      <w:b/>
      <w:bCs/>
    </w:rPr>
  </w:style>
  <w:style w:type="character" w:customStyle="1" w:styleId="ObjetducommentaireCar">
    <w:name w:val="Objet du commentaire Car"/>
    <w:basedOn w:val="CommentaireCar"/>
    <w:link w:val="Objetducommentaire"/>
    <w:uiPriority w:val="99"/>
    <w:semiHidden/>
    <w:rsid w:val="00352E62"/>
    <w:rPr>
      <w:rFonts w:ascii="Times New Roman" w:eastAsia="Times New Roman" w:hAnsi="Times New Roman" w:cs="Times New Roman"/>
      <w:b/>
      <w:bCs/>
      <w:sz w:val="20"/>
      <w:szCs w:val="20"/>
      <w:lang w:eastAsia="ar-SA"/>
    </w:rPr>
  </w:style>
  <w:style w:type="paragraph" w:styleId="Textedebulles">
    <w:name w:val="Balloon Text"/>
    <w:basedOn w:val="Normal"/>
    <w:link w:val="TextedebullesCar"/>
    <w:uiPriority w:val="99"/>
    <w:semiHidden/>
    <w:unhideWhenUsed/>
    <w:rsid w:val="00352E62"/>
    <w:rPr>
      <w:rFonts w:ascii="Segoe UI" w:hAnsi="Segoe UI" w:cs="Segoe UI"/>
      <w:sz w:val="18"/>
      <w:szCs w:val="18"/>
    </w:rPr>
  </w:style>
  <w:style w:type="character" w:customStyle="1" w:styleId="TextedebullesCar">
    <w:name w:val="Texte de bulles Car"/>
    <w:basedOn w:val="Policepardfaut"/>
    <w:link w:val="Textedebulles"/>
    <w:uiPriority w:val="99"/>
    <w:semiHidden/>
    <w:rsid w:val="00352E62"/>
    <w:rPr>
      <w:rFonts w:ascii="Segoe UI" w:eastAsia="Times New Roman" w:hAnsi="Segoe UI" w:cs="Segoe UI"/>
      <w:sz w:val="18"/>
      <w:szCs w:val="18"/>
      <w:lang w:eastAsia="ar-SA"/>
    </w:rPr>
  </w:style>
  <w:style w:type="paragraph" w:customStyle="1" w:styleId="Typedefichehautdepage">
    <w:name w:val="Type de fiche haut de page"/>
    <w:basedOn w:val="Titre"/>
    <w:link w:val="TypedefichehautdepageCar"/>
    <w:qFormat/>
    <w:rsid w:val="0069266E"/>
    <w:pPr>
      <w:suppressAutoHyphens w:val="0"/>
      <w:spacing w:before="120"/>
      <w:contextualSpacing w:val="0"/>
      <w:jc w:val="right"/>
    </w:pPr>
    <w:rPr>
      <w:rFonts w:ascii="Arial" w:eastAsia="Cambria" w:hAnsi="Arial" w:cs="Arial"/>
      <w:b/>
      <w:color w:val="4F81BD" w:themeColor="accent1"/>
      <w:sz w:val="32"/>
      <w:szCs w:val="32"/>
    </w:rPr>
  </w:style>
  <w:style w:type="character" w:customStyle="1" w:styleId="TypedefichehautdepageCar">
    <w:name w:val="Type de fiche haut de page Car"/>
    <w:basedOn w:val="TitreCar"/>
    <w:link w:val="Typedefichehautdepage"/>
    <w:rsid w:val="0069266E"/>
    <w:rPr>
      <w:rFonts w:ascii="Arial" w:eastAsia="Cambria" w:hAnsi="Arial" w:cs="Arial"/>
      <w:b/>
      <w:color w:val="4F81BD" w:themeColor="accent1"/>
      <w:spacing w:val="-10"/>
      <w:kern w:val="28"/>
      <w:sz w:val="32"/>
      <w:szCs w:val="32"/>
      <w:lang w:eastAsia="ar-SA"/>
    </w:rPr>
  </w:style>
  <w:style w:type="paragraph" w:styleId="Titre">
    <w:name w:val="Title"/>
    <w:basedOn w:val="Normal"/>
    <w:next w:val="Normal"/>
    <w:link w:val="TitreCar"/>
    <w:uiPriority w:val="10"/>
    <w:qFormat/>
    <w:rsid w:val="0069266E"/>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9266E"/>
    <w:rPr>
      <w:rFonts w:asciiTheme="majorHAnsi" w:eastAsiaTheme="majorEastAsia" w:hAnsiTheme="majorHAnsi" w:cstheme="majorBidi"/>
      <w:spacing w:val="-10"/>
      <w:kern w:val="28"/>
      <w:sz w:val="56"/>
      <w:szCs w:val="56"/>
      <w:lang w:eastAsia="ar-SA"/>
    </w:rPr>
  </w:style>
  <w:style w:type="paragraph" w:styleId="Corpsdetexte2">
    <w:name w:val="Body Text 2"/>
    <w:basedOn w:val="Normal"/>
    <w:link w:val="Corpsdetexte2Car"/>
    <w:semiHidden/>
    <w:unhideWhenUsed/>
    <w:rsid w:val="00046A73"/>
    <w:pPr>
      <w:suppressAutoHyphens w:val="0"/>
      <w:spacing w:after="120" w:line="480" w:lineRule="auto"/>
    </w:pPr>
    <w:rPr>
      <w:lang w:eastAsia="fr-FR"/>
    </w:rPr>
  </w:style>
  <w:style w:type="character" w:customStyle="1" w:styleId="Corpsdetexte2Car">
    <w:name w:val="Corps de texte 2 Car"/>
    <w:basedOn w:val="Policepardfaut"/>
    <w:link w:val="Corpsdetexte2"/>
    <w:semiHidden/>
    <w:rsid w:val="00046A73"/>
    <w:rPr>
      <w:rFonts w:ascii="Times New Roman" w:eastAsia="Times New Roman" w:hAnsi="Times New Roman" w:cs="Times New Roman"/>
      <w:sz w:val="24"/>
      <w:szCs w:val="24"/>
      <w:lang w:eastAsia="fr-FR"/>
    </w:rPr>
  </w:style>
  <w:style w:type="table" w:styleId="Grilledutableau">
    <w:name w:val="Table Grid"/>
    <w:basedOn w:val="TableauNormal"/>
    <w:uiPriority w:val="59"/>
    <w:rsid w:val="00211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0A42"/>
    <w:pPr>
      <w:autoSpaceDE w:val="0"/>
      <w:autoSpaceDN w:val="0"/>
      <w:adjustRightInd w:val="0"/>
      <w:spacing w:after="0" w:line="240" w:lineRule="auto"/>
    </w:pPr>
    <w:rPr>
      <w:rFonts w:ascii="Tahoma" w:eastAsia="Calibri" w:hAnsi="Tahoma" w:cs="Tahoma"/>
      <w:color w:val="000000"/>
      <w:sz w:val="24"/>
      <w:szCs w:val="24"/>
    </w:rPr>
  </w:style>
  <w:style w:type="paragraph" w:customStyle="1" w:styleId="NormalRiskpart">
    <w:name w:val="Normal Riskpart"/>
    <w:basedOn w:val="Normal"/>
    <w:rsid w:val="00057F95"/>
    <w:pPr>
      <w:widowControl w:val="0"/>
      <w:jc w:val="both"/>
    </w:pPr>
    <w:rPr>
      <w:rFonts w:ascii="Myriad Pro" w:eastAsia="Lucida Sans Unicode" w:hAnsi="Myriad Pro" w:cs="Myriad Pro"/>
      <w:color w:val="000000"/>
      <w:sz w:val="18"/>
      <w:lang w:eastAsia="en-US" w:bidi="en-US"/>
    </w:rPr>
  </w:style>
  <w:style w:type="paragraph" w:customStyle="1" w:styleId="ParagrapheIndent2">
    <w:name w:val="ParagrapheIndent2"/>
    <w:basedOn w:val="Normal"/>
    <w:next w:val="Normal"/>
    <w:qFormat/>
    <w:rsid w:val="00165365"/>
    <w:pPr>
      <w:suppressAutoHyphens w:val="0"/>
    </w:pPr>
    <w:rPr>
      <w:rFonts w:ascii="Trebuchet MS" w:eastAsia="Trebuchet MS" w:hAnsi="Trebuchet MS" w:cs="Trebuchet MS"/>
      <w:sz w:val="20"/>
      <w:lang w:eastAsia="en-US"/>
    </w:rPr>
  </w:style>
  <w:style w:type="paragraph" w:customStyle="1" w:styleId="Contenudetableau">
    <w:name w:val="Contenu de tableau"/>
    <w:basedOn w:val="Normal"/>
    <w:rsid w:val="007549E0"/>
    <w:pPr>
      <w:widowControl w:val="0"/>
      <w:suppressLineNumbers/>
    </w:pPr>
    <w:rPr>
      <w:rFonts w:eastAsia="Lucida Sans Unicode" w:cs="Tahoma"/>
      <w:color w:val="000000"/>
      <w:lang w:eastAsia="en-US" w:bidi="en-US"/>
    </w:rPr>
  </w:style>
  <w:style w:type="character" w:customStyle="1" w:styleId="ParagraphedelisteCar">
    <w:name w:val="Paragraphe de liste Car"/>
    <w:link w:val="Paragraphedeliste"/>
    <w:uiPriority w:val="34"/>
    <w:locked/>
    <w:rsid w:val="002005A0"/>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883145">
      <w:bodyDiv w:val="1"/>
      <w:marLeft w:val="0"/>
      <w:marRight w:val="0"/>
      <w:marTop w:val="0"/>
      <w:marBottom w:val="0"/>
      <w:divBdr>
        <w:top w:val="none" w:sz="0" w:space="0" w:color="auto"/>
        <w:left w:val="none" w:sz="0" w:space="0" w:color="auto"/>
        <w:bottom w:val="none" w:sz="0" w:space="0" w:color="auto"/>
        <w:right w:val="none" w:sz="0" w:space="0" w:color="auto"/>
      </w:divBdr>
    </w:div>
    <w:div w:id="1837304994">
      <w:bodyDiv w:val="1"/>
      <w:marLeft w:val="0"/>
      <w:marRight w:val="0"/>
      <w:marTop w:val="0"/>
      <w:marBottom w:val="0"/>
      <w:divBdr>
        <w:top w:val="none" w:sz="0" w:space="0" w:color="auto"/>
        <w:left w:val="none" w:sz="0" w:space="0" w:color="auto"/>
        <w:bottom w:val="none" w:sz="0" w:space="0" w:color="auto"/>
        <w:right w:val="none" w:sz="0" w:space="0" w:color="auto"/>
      </w:divBdr>
    </w:div>
    <w:div w:id="191439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65050B271C6C408DBD859176866CFB" ma:contentTypeVersion="14" ma:contentTypeDescription="Crée un document." ma:contentTypeScope="" ma:versionID="985bc0fde845c4a4b0b0a15c1011f14b">
  <xsd:schema xmlns:xsd="http://www.w3.org/2001/XMLSchema" xmlns:xs="http://www.w3.org/2001/XMLSchema" xmlns:p="http://schemas.microsoft.com/office/2006/metadata/properties" xmlns:ns2="1f21e3ec-9db3-4d4c-b8c0-fcb0e8911bd8" xmlns:ns3="a83e8e55-17ad-4db5-8d28-44d4072afee6" targetNamespace="http://schemas.microsoft.com/office/2006/metadata/properties" ma:root="true" ma:fieldsID="aaac63b7cc90fd64f769b3dbf184b0d8" ns2:_="" ns3:_="">
    <xsd:import namespace="1f21e3ec-9db3-4d4c-b8c0-fcb0e8911bd8"/>
    <xsd:import namespace="a83e8e55-17ad-4db5-8d28-44d4072afee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1e3ec-9db3-4d4c-b8c0-fcb0e8911bd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alises d’images" ma:readOnly="false" ma:fieldId="{5cf76f15-5ced-4ddc-b409-7134ff3c332f}" ma:taxonomyMulti="true" ma:sspId="f305f858-1c3c-49ef-98f6-a25e8466e9b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3e8e55-17ad-4db5-8d28-44d4072afee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b701e90-e650-41ab-b0ef-1e43e9e425da}" ma:internalName="TaxCatchAll" ma:showField="CatchAllData" ma:web="a83e8e55-17ad-4db5-8d28-44d4072afee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83e8e55-17ad-4db5-8d28-44d4072afee6" xsi:nil="true"/>
    <lcf76f155ced4ddcb4097134ff3c332f xmlns="1f21e3ec-9db3-4d4c-b8c0-fcb0e8911b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2DEB85-4D35-4FA2-A161-B5FC902A3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1e3ec-9db3-4d4c-b8c0-fcb0e8911bd8"/>
    <ds:schemaRef ds:uri="a83e8e55-17ad-4db5-8d28-44d4072af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CCE9DB-3D0E-4F7D-A03B-F7E71FC548BB}">
  <ds:schemaRefs>
    <ds:schemaRef ds:uri="http://schemas.microsoft.com/sharepoint/v3/contenttype/forms"/>
  </ds:schemaRefs>
</ds:datastoreItem>
</file>

<file path=customXml/itemProps3.xml><?xml version="1.0" encoding="utf-8"?>
<ds:datastoreItem xmlns:ds="http://schemas.openxmlformats.org/officeDocument/2006/customXml" ds:itemID="{FB80A0CB-D837-41E6-941A-153B0D458C14}">
  <ds:schemaRefs>
    <ds:schemaRef ds:uri="http://schemas.microsoft.com/office/2006/metadata/properties"/>
    <ds:schemaRef ds:uri="http://schemas.microsoft.com/office/infopath/2007/PartnerControls"/>
    <ds:schemaRef ds:uri="a83e8e55-17ad-4db5-8d28-44d4072afee6"/>
    <ds:schemaRef ds:uri="1f21e3ec-9db3-4d4c-b8c0-fcb0e8911bd8"/>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Pages>
  <Words>1278</Words>
  <Characters>7034</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Modèle de délib Adhésion Contrat assurance 2025-28</vt:lpstr>
    </vt:vector>
  </TitlesOfParts>
  <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Sandrine HELFRICH</cp:lastModifiedBy>
  <cp:revision>4</cp:revision>
  <cp:lastPrinted>2023-08-03T08:36:00Z</cp:lastPrinted>
  <dcterms:created xsi:type="dcterms:W3CDTF">2025-09-10T12:06:00Z</dcterms:created>
  <dcterms:modified xsi:type="dcterms:W3CDTF">2025-11-14T10:56:00Z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0x010100CB65050B271C6C408DBD859176866CFB</vt:lpwstr>
  </property>
  <property fmtid="{D5CDD505-2E9C-101B-9397-08002B2CF9AE}" pid="3" name="MediaServiceImageTags">
    <vt:lpwstr/>
  </property>
</Properties>
</file>