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1B61FF" w:rsidRDefault="00C326A1" w:rsidP="00C326A1">
      <w:pPr>
        <w:rPr>
          <w:rFonts w:asciiTheme="majorHAnsi" w:hAnsiTheme="majorHAnsi" w:cstheme="majorHAnsi"/>
          <w:sz w:val="24"/>
          <w:szCs w:val="24"/>
        </w:rPr>
      </w:pPr>
    </w:p>
    <w:p w14:paraId="6DA3DC62" w14:textId="28FFE7BD" w:rsidR="00C326A1" w:rsidRPr="001B61FF" w:rsidRDefault="00C326A1">
      <w:pPr>
        <w:rPr>
          <w:rFonts w:asciiTheme="majorHAnsi" w:hAnsiTheme="majorHAnsi" w:cstheme="majorHAnsi"/>
          <w:sz w:val="24"/>
          <w:szCs w:val="24"/>
        </w:rPr>
      </w:pPr>
    </w:p>
    <w:p w14:paraId="4048820A" w14:textId="7FA5E4C8" w:rsidR="00C326A1" w:rsidRPr="001B61FF" w:rsidRDefault="00C326A1">
      <w:pPr>
        <w:rPr>
          <w:rFonts w:asciiTheme="majorHAnsi" w:hAnsiTheme="majorHAnsi" w:cstheme="majorHAnsi"/>
          <w:sz w:val="24"/>
          <w:szCs w:val="24"/>
        </w:rPr>
      </w:pPr>
    </w:p>
    <w:p w14:paraId="1BB8D07E" w14:textId="77777777" w:rsidR="00EB468D" w:rsidRPr="001B61FF" w:rsidRDefault="00EB468D" w:rsidP="00EB468D">
      <w:pPr>
        <w:jc w:val="both"/>
        <w:rPr>
          <w:rFonts w:asciiTheme="majorHAnsi" w:hAnsiTheme="majorHAnsi" w:cstheme="majorHAnsi"/>
          <w:b/>
          <w:bCs/>
          <w:color w:val="007378"/>
          <w:sz w:val="24"/>
          <w:szCs w:val="24"/>
        </w:rPr>
      </w:pPr>
    </w:p>
    <w:p w14:paraId="1C2322C7" w14:textId="77777777" w:rsidR="00EB468D" w:rsidRPr="001B61FF" w:rsidRDefault="00EB468D" w:rsidP="00EB468D">
      <w:pPr>
        <w:jc w:val="both"/>
        <w:rPr>
          <w:rFonts w:asciiTheme="majorHAnsi" w:hAnsiTheme="majorHAnsi" w:cstheme="majorHAnsi"/>
          <w:b/>
          <w:bCs/>
          <w:i/>
          <w:color w:val="F4951E"/>
          <w:sz w:val="24"/>
          <w:szCs w:val="24"/>
        </w:rPr>
      </w:pPr>
      <w:r w:rsidRPr="001B61FF">
        <w:rPr>
          <w:rFonts w:asciiTheme="majorHAnsi" w:hAnsiTheme="majorHAnsi" w:cstheme="majorHAnsi"/>
          <w:b/>
          <w:bCs/>
          <w:i/>
          <w:color w:val="F4951E"/>
          <w:sz w:val="24"/>
          <w:szCs w:val="24"/>
        </w:rPr>
        <w:sym w:font="Webdings" w:char="F055"/>
      </w:r>
      <w:r w:rsidRPr="001B61FF">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1B61FF" w:rsidRDefault="00EB468D" w:rsidP="00EB468D">
      <w:pPr>
        <w:jc w:val="center"/>
        <w:rPr>
          <w:rFonts w:asciiTheme="majorHAnsi" w:hAnsiTheme="majorHAnsi" w:cstheme="majorHAnsi"/>
          <w:b/>
          <w:smallCaps/>
          <w:sz w:val="24"/>
          <w:szCs w:val="24"/>
        </w:rPr>
      </w:pPr>
    </w:p>
    <w:p w14:paraId="339965BC" w14:textId="77777777" w:rsidR="00EB468D" w:rsidRPr="001B61FF" w:rsidRDefault="00EB468D" w:rsidP="00EB468D">
      <w:pPr>
        <w:pStyle w:val="Default"/>
        <w:jc w:val="both"/>
        <w:rPr>
          <w:rFonts w:asciiTheme="majorHAnsi" w:hAnsiTheme="majorHAnsi" w:cstheme="majorHAnsi"/>
          <w:b/>
          <w:i/>
          <w:color w:val="365F91"/>
        </w:rPr>
      </w:pPr>
      <w:r w:rsidRPr="001B61FF">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1B61FF" w:rsidRDefault="00EB468D" w:rsidP="00EB468D">
      <w:pPr>
        <w:jc w:val="both"/>
        <w:rPr>
          <w:rFonts w:asciiTheme="majorHAnsi" w:hAnsiTheme="majorHAnsi" w:cstheme="majorHAnsi"/>
          <w:b/>
          <w:sz w:val="24"/>
          <w:szCs w:val="24"/>
        </w:rPr>
      </w:pPr>
    </w:p>
    <w:p w14:paraId="45ED8DCB" w14:textId="77777777" w:rsidR="006C707A" w:rsidRPr="001B61FF" w:rsidRDefault="006C707A" w:rsidP="006C707A">
      <w:pPr>
        <w:pStyle w:val="Default"/>
        <w:rPr>
          <w:rFonts w:asciiTheme="majorHAnsi" w:hAnsiTheme="majorHAnsi" w:cstheme="majorHAnsi"/>
        </w:rPr>
      </w:pPr>
    </w:p>
    <w:p w14:paraId="45658CF9" w14:textId="77777777" w:rsidR="006C707A" w:rsidRPr="001B61FF" w:rsidRDefault="006C707A" w:rsidP="006C707A">
      <w:pPr>
        <w:jc w:val="both"/>
        <w:outlineLvl w:val="0"/>
        <w:rPr>
          <w:rFonts w:asciiTheme="majorHAnsi" w:hAnsiTheme="majorHAnsi" w:cstheme="majorHAnsi"/>
          <w:sz w:val="24"/>
          <w:szCs w:val="24"/>
        </w:rPr>
      </w:pPr>
      <w:r w:rsidRPr="001B61FF">
        <w:rPr>
          <w:rFonts w:asciiTheme="majorHAnsi" w:hAnsiTheme="majorHAnsi" w:cstheme="majorHAnsi"/>
          <w:sz w:val="24"/>
          <w:szCs w:val="24"/>
        </w:rPr>
        <w:t>- Vu le Code Général des Collectivités Territoriales</w:t>
      </w:r>
    </w:p>
    <w:p w14:paraId="63DDF955" w14:textId="77777777" w:rsidR="006C707A" w:rsidRPr="001B61FF" w:rsidRDefault="006C707A" w:rsidP="006C707A">
      <w:pPr>
        <w:jc w:val="both"/>
        <w:outlineLvl w:val="0"/>
        <w:rPr>
          <w:rFonts w:asciiTheme="majorHAnsi" w:hAnsiTheme="majorHAnsi" w:cstheme="majorHAnsi"/>
          <w:sz w:val="24"/>
          <w:szCs w:val="24"/>
        </w:rPr>
      </w:pPr>
      <w:r w:rsidRPr="001B61FF">
        <w:rPr>
          <w:rFonts w:asciiTheme="majorHAnsi" w:hAnsiTheme="majorHAnsi" w:cstheme="majorHAnsi"/>
          <w:sz w:val="24"/>
          <w:szCs w:val="24"/>
        </w:rPr>
        <w:t>- Vu le Code Général de la Fonction Publique</w:t>
      </w:r>
      <w:r w:rsidRPr="001B61FF">
        <w:rPr>
          <w:rFonts w:asciiTheme="majorHAnsi" w:hAnsiTheme="majorHAnsi" w:cstheme="majorHAnsi"/>
          <w:bCs/>
          <w:kern w:val="20"/>
          <w:sz w:val="24"/>
          <w:szCs w:val="24"/>
        </w:rPr>
        <w:t xml:space="preserve"> </w:t>
      </w:r>
      <w:r w:rsidRPr="001B61FF">
        <w:rPr>
          <w:rFonts w:asciiTheme="majorHAnsi" w:hAnsiTheme="majorHAnsi" w:cstheme="majorHAnsi"/>
          <w:sz w:val="24"/>
          <w:szCs w:val="24"/>
        </w:rPr>
        <w:t xml:space="preserve">notamment ses articles L611-2, L621-4 et L621-5 </w:t>
      </w:r>
    </w:p>
    <w:p w14:paraId="55B319A7" w14:textId="77777777" w:rsidR="006C707A" w:rsidRPr="001B61FF" w:rsidRDefault="006C707A" w:rsidP="006C707A">
      <w:pPr>
        <w:jc w:val="both"/>
        <w:outlineLvl w:val="0"/>
        <w:rPr>
          <w:rFonts w:asciiTheme="majorHAnsi" w:hAnsiTheme="majorHAnsi" w:cstheme="majorHAnsi"/>
          <w:sz w:val="24"/>
          <w:szCs w:val="24"/>
        </w:rPr>
      </w:pPr>
      <w:r w:rsidRPr="001B61FF">
        <w:rPr>
          <w:rFonts w:asciiTheme="majorHAnsi" w:hAnsiTheme="majorHAnsi" w:cstheme="majorHAnsi"/>
          <w:sz w:val="24"/>
          <w:szCs w:val="24"/>
        </w:rPr>
        <w:t>- Vu la loi n°2009-972 du 3 août 2009 relative à la mobilité et aux parcours professionnels dans la fonction publique, notamment son article 37</w:t>
      </w:r>
    </w:p>
    <w:p w14:paraId="52EC0B76" w14:textId="77777777" w:rsidR="006C707A" w:rsidRPr="001B61FF" w:rsidRDefault="006C707A" w:rsidP="006C707A">
      <w:pPr>
        <w:pStyle w:val="Default"/>
        <w:jc w:val="both"/>
        <w:rPr>
          <w:rFonts w:asciiTheme="majorHAnsi" w:hAnsiTheme="majorHAnsi" w:cstheme="majorHAnsi"/>
          <w:color w:val="auto"/>
          <w:lang w:eastAsia="fr-FR"/>
        </w:rPr>
      </w:pPr>
      <w:r w:rsidRPr="001B61FF">
        <w:rPr>
          <w:rFonts w:asciiTheme="majorHAnsi" w:hAnsiTheme="majorHAnsi" w:cstheme="majorHAnsi"/>
        </w:rPr>
        <w:t xml:space="preserve">- </w:t>
      </w:r>
      <w:r w:rsidRPr="001B61FF">
        <w:rPr>
          <w:rFonts w:asciiTheme="majorHAnsi" w:hAnsiTheme="majorHAnsi" w:cstheme="majorHAnsi"/>
          <w:color w:val="auto"/>
          <w:lang w:eastAsia="fr-FR"/>
        </w:rPr>
        <w:t xml:space="preserve">Vu le décret n° 2004-878 du 26 août 2004 relatif au compte épargne-temps dans la Fonction Publique Territoriale </w:t>
      </w:r>
    </w:p>
    <w:p w14:paraId="44808802" w14:textId="77777777" w:rsidR="006C707A" w:rsidRPr="001B61FF" w:rsidRDefault="006C707A" w:rsidP="006C707A">
      <w:pPr>
        <w:pStyle w:val="Default"/>
        <w:jc w:val="both"/>
        <w:rPr>
          <w:rFonts w:asciiTheme="majorHAnsi" w:hAnsiTheme="majorHAnsi" w:cstheme="majorHAnsi"/>
          <w:color w:val="auto"/>
          <w:lang w:eastAsia="fr-FR"/>
        </w:rPr>
      </w:pPr>
      <w:r w:rsidRPr="001B61FF">
        <w:rPr>
          <w:rFonts w:asciiTheme="majorHAnsi" w:hAnsiTheme="majorHAnsi" w:cstheme="majorHAnsi"/>
          <w:color w:val="auto"/>
          <w:lang w:eastAsia="fr-FR"/>
        </w:rPr>
        <w:t>- Vu l’arrêté du 28 août 2009 pris pour l'application du décret n° 2002-634 du 29 avril 2002 modifié portant création du compte épargne-temps dans la fonction publique de l'Etat et dans la magistrature </w:t>
      </w:r>
    </w:p>
    <w:p w14:paraId="11EE7BE9"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Vu la circulaire ministérielle n°10-007135-D du 31 mai 2010 relative à la réforme du compte épargne-temps dans la Fonction Publique Territoriale</w:t>
      </w:r>
    </w:p>
    <w:p w14:paraId="0514628E"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Considérant </w:t>
      </w:r>
      <w:r w:rsidRPr="001B61FF">
        <w:rPr>
          <w:rFonts w:asciiTheme="majorHAnsi" w:hAnsiTheme="majorHAnsi" w:cstheme="majorHAnsi"/>
          <w:b/>
        </w:rPr>
        <w:t>l’avis préalable du Comité Social Territorial</w:t>
      </w:r>
      <w:r w:rsidRPr="001B61FF">
        <w:rPr>
          <w:rFonts w:asciiTheme="majorHAnsi" w:hAnsiTheme="majorHAnsi" w:cstheme="majorHAnsi"/>
          <w:i/>
          <w:iCs/>
        </w:rPr>
        <w:t xml:space="preserve"> </w:t>
      </w:r>
      <w:r w:rsidRPr="001B61FF">
        <w:rPr>
          <w:rFonts w:asciiTheme="majorHAnsi" w:hAnsiTheme="majorHAnsi" w:cstheme="majorHAnsi"/>
        </w:rPr>
        <w:t xml:space="preserve">en date du ………………………. </w:t>
      </w:r>
    </w:p>
    <w:p w14:paraId="7A158AF1" w14:textId="77777777" w:rsidR="006C707A" w:rsidRPr="001B61FF" w:rsidRDefault="006C707A" w:rsidP="006C707A">
      <w:pPr>
        <w:pStyle w:val="Default"/>
        <w:rPr>
          <w:rFonts w:asciiTheme="majorHAnsi" w:hAnsiTheme="majorHAnsi" w:cstheme="majorHAnsi"/>
          <w:i/>
          <w:iCs/>
        </w:rPr>
      </w:pPr>
    </w:p>
    <w:p w14:paraId="278049F2" w14:textId="77777777" w:rsidR="006C707A" w:rsidRPr="001B61FF" w:rsidRDefault="006C707A" w:rsidP="006C707A">
      <w:pPr>
        <w:spacing w:before="180" w:after="18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 xml:space="preserve">M. / Mme ……………… </w:t>
      </w:r>
      <w:r w:rsidRPr="001B61FF">
        <w:rPr>
          <w:rFonts w:asciiTheme="majorHAnsi" w:hAnsiTheme="majorHAnsi" w:cstheme="majorHAnsi"/>
          <w:i/>
          <w:color w:val="F4951E"/>
          <w:sz w:val="24"/>
          <w:szCs w:val="24"/>
        </w:rPr>
        <w:t>(autorité territoriale)</w:t>
      </w:r>
      <w:r w:rsidRPr="001B61FF">
        <w:rPr>
          <w:rFonts w:asciiTheme="majorHAnsi" w:hAnsiTheme="majorHAnsi" w:cstheme="majorHAnsi"/>
          <w:color w:val="F4951E"/>
          <w:sz w:val="24"/>
          <w:szCs w:val="24"/>
        </w:rPr>
        <w:t xml:space="preserve"> </w:t>
      </w:r>
      <w:r w:rsidRPr="001B61FF">
        <w:rPr>
          <w:rFonts w:asciiTheme="majorHAnsi" w:hAnsiTheme="majorHAnsi" w:cstheme="majorHAnsi"/>
          <w:color w:val="000000"/>
          <w:sz w:val="24"/>
          <w:szCs w:val="24"/>
        </w:rPr>
        <w:t xml:space="preserve">expose au ………………. </w:t>
      </w:r>
      <w:r w:rsidRPr="001B61FF">
        <w:rPr>
          <w:rFonts w:asciiTheme="majorHAnsi" w:hAnsiTheme="majorHAnsi" w:cstheme="majorHAnsi"/>
          <w:i/>
          <w:iCs/>
          <w:color w:val="F4951E"/>
          <w:sz w:val="24"/>
          <w:szCs w:val="24"/>
        </w:rPr>
        <w:t>(organe délibérant</w:t>
      </w:r>
      <w:r w:rsidRPr="001B61FF">
        <w:rPr>
          <w:rFonts w:asciiTheme="majorHAnsi" w:hAnsiTheme="majorHAnsi" w:cstheme="majorHAnsi"/>
          <w:i/>
          <w:color w:val="F4951E"/>
          <w:sz w:val="24"/>
          <w:szCs w:val="24"/>
        </w:rPr>
        <w:t>)</w:t>
      </w:r>
      <w:r w:rsidRPr="001B61FF">
        <w:rPr>
          <w:rFonts w:asciiTheme="majorHAnsi" w:hAnsiTheme="majorHAnsi" w:cstheme="majorHAnsi"/>
          <w:color w:val="F4951E"/>
          <w:sz w:val="24"/>
          <w:szCs w:val="24"/>
        </w:rPr>
        <w:t xml:space="preserve"> </w:t>
      </w:r>
      <w:r w:rsidRPr="001B61FF">
        <w:rPr>
          <w:rFonts w:asciiTheme="majorHAnsi" w:hAnsiTheme="majorHAnsi" w:cstheme="majorHAnsi"/>
          <w:color w:val="000000"/>
          <w:sz w:val="24"/>
          <w:szCs w:val="24"/>
        </w:rPr>
        <w:t xml:space="preserve">qu’il est nécessaire de prévoir les modalités de mise en œuvre du compte épargne-temps (CET) dans la collectivité </w:t>
      </w:r>
      <w:r w:rsidRPr="001B61FF">
        <w:rPr>
          <w:rFonts w:asciiTheme="majorHAnsi" w:hAnsiTheme="majorHAnsi" w:cstheme="majorHAnsi"/>
          <w:i/>
          <w:color w:val="F4951E"/>
          <w:sz w:val="24"/>
          <w:szCs w:val="24"/>
        </w:rPr>
        <w:t>(ou l’établissement)</w:t>
      </w:r>
      <w:r w:rsidRPr="001B61FF">
        <w:rPr>
          <w:rFonts w:asciiTheme="majorHAnsi" w:hAnsiTheme="majorHAnsi" w:cstheme="majorHAnsi"/>
          <w:color w:val="F4951E"/>
          <w:sz w:val="24"/>
          <w:szCs w:val="24"/>
        </w:rPr>
        <w:t>.</w:t>
      </w:r>
    </w:p>
    <w:p w14:paraId="7FA18F45" w14:textId="77777777" w:rsidR="006C707A" w:rsidRPr="001B61FF" w:rsidRDefault="006C707A" w:rsidP="006C707A">
      <w:pPr>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Considérant que le compte épargne-temps (CET) ouvre aux agents qui le souhaitent la possibilité de capitaliser du temps sur plusieurs années, qu’ils pourront utiliser dans les conditions définies par la présente délibération </w:t>
      </w:r>
    </w:p>
    <w:p w14:paraId="74023968" w14:textId="77777777" w:rsidR="006C707A" w:rsidRPr="001B61FF" w:rsidRDefault="006C707A" w:rsidP="006C707A">
      <w:pPr>
        <w:pStyle w:val="Default"/>
        <w:jc w:val="both"/>
        <w:rPr>
          <w:rFonts w:asciiTheme="majorHAnsi" w:hAnsiTheme="majorHAnsi" w:cstheme="majorHAnsi"/>
        </w:rPr>
      </w:pPr>
    </w:p>
    <w:p w14:paraId="146147FD"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La réglementation fixe un cadre général mais il appartient à l’assemblée délibérante</w:t>
      </w:r>
      <w:r w:rsidRPr="001B61FF">
        <w:rPr>
          <w:rFonts w:asciiTheme="majorHAnsi" w:hAnsiTheme="majorHAnsi" w:cstheme="majorHAnsi"/>
          <w:i/>
          <w:iCs/>
        </w:rPr>
        <w:t xml:space="preserve"> </w:t>
      </w:r>
      <w:r w:rsidRPr="001B61FF">
        <w:rPr>
          <w:rFonts w:asciiTheme="majorHAnsi" w:hAnsiTheme="majorHAnsi" w:cstheme="majorHAnsi"/>
        </w:rPr>
        <w:t xml:space="preserve">de se prononcer sur le détail des modalités d'ouverture, de fonctionnement, de gestion, de fermeture du compte épargne-temps (CET), ainsi que les modalités de son utilisation par l'agent conformément à l'article 10 alinéa 1 du décret n°2004-878 du 26 août 2004. </w:t>
      </w:r>
    </w:p>
    <w:p w14:paraId="73137C77" w14:textId="77777777" w:rsidR="006C707A" w:rsidRPr="001B61FF" w:rsidRDefault="006C707A" w:rsidP="006C707A">
      <w:pPr>
        <w:spacing w:before="180" w:after="18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 xml:space="preserve">L’autorité territoriale propose au …………………………. </w:t>
      </w:r>
      <w:r w:rsidRPr="001B61FF">
        <w:rPr>
          <w:rFonts w:asciiTheme="majorHAnsi" w:hAnsiTheme="majorHAnsi" w:cstheme="majorHAnsi"/>
          <w:i/>
          <w:color w:val="F4951E"/>
          <w:sz w:val="24"/>
          <w:szCs w:val="24"/>
        </w:rPr>
        <w:t>(organe délibérant)</w:t>
      </w:r>
      <w:r w:rsidRPr="001B61FF">
        <w:rPr>
          <w:rFonts w:asciiTheme="majorHAnsi" w:hAnsiTheme="majorHAnsi" w:cstheme="majorHAnsi"/>
          <w:color w:val="F4951E"/>
          <w:sz w:val="24"/>
          <w:szCs w:val="24"/>
        </w:rPr>
        <w:t xml:space="preserve"> </w:t>
      </w:r>
      <w:r w:rsidRPr="001B61FF">
        <w:rPr>
          <w:rFonts w:asciiTheme="majorHAnsi" w:hAnsiTheme="majorHAnsi" w:cstheme="majorHAnsi"/>
          <w:color w:val="000000"/>
          <w:sz w:val="24"/>
          <w:szCs w:val="24"/>
        </w:rPr>
        <w:t>que ce compte soit encadré dans la limite de ce que permet la réglementation en vigueur.</w:t>
      </w:r>
    </w:p>
    <w:p w14:paraId="4D9ACCFA"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b/>
          <w:bCs/>
          <w:i/>
          <w:color w:val="F4951E"/>
          <w:lang w:eastAsia="fr-FR"/>
        </w:rPr>
        <w:t>Ou le cas échéant</w:t>
      </w:r>
      <w:r w:rsidRPr="001B61FF">
        <w:rPr>
          <w:rFonts w:asciiTheme="majorHAnsi" w:hAnsiTheme="majorHAnsi" w:cstheme="majorHAnsi"/>
          <w:b/>
          <w:bCs/>
          <w:i/>
          <w:iCs/>
          <w:color w:val="F4951E"/>
        </w:rPr>
        <w:t xml:space="preserve"> </w:t>
      </w:r>
      <w:r w:rsidRPr="001B61FF">
        <w:rPr>
          <w:rFonts w:asciiTheme="majorHAnsi" w:hAnsiTheme="majorHAnsi" w:cstheme="majorHAnsi"/>
          <w:b/>
          <w:bCs/>
          <w:i/>
          <w:iCs/>
        </w:rPr>
        <w:t xml:space="preserve">pour les collectivités ayant déjà instauré un CET : </w:t>
      </w:r>
    </w:p>
    <w:p w14:paraId="46B67474" w14:textId="268F471F"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i/>
          <w:iCs/>
        </w:rPr>
        <w:t xml:space="preserve">Le </w:t>
      </w:r>
      <w:r w:rsidRPr="001B61FF">
        <w:rPr>
          <w:rFonts w:asciiTheme="majorHAnsi" w:hAnsiTheme="majorHAnsi" w:cstheme="majorHAnsi"/>
          <w:i/>
          <w:color w:val="F4951E"/>
          <w:lang w:eastAsia="fr-FR"/>
        </w:rPr>
        <w:t>(Maire ou Président)</w:t>
      </w:r>
      <w:r w:rsidRPr="001B61FF">
        <w:rPr>
          <w:rFonts w:asciiTheme="majorHAnsi" w:hAnsiTheme="majorHAnsi" w:cstheme="majorHAnsi"/>
          <w:i/>
          <w:iCs/>
          <w:color w:val="F4951E"/>
        </w:rPr>
        <w:t xml:space="preserve"> </w:t>
      </w:r>
      <w:r w:rsidRPr="001B61FF">
        <w:rPr>
          <w:rFonts w:asciiTheme="majorHAnsi" w:hAnsiTheme="majorHAnsi" w:cstheme="majorHAnsi"/>
          <w:i/>
          <w:iCs/>
        </w:rPr>
        <w:t>………………..</w:t>
      </w:r>
      <w:r w:rsidRPr="001B61FF">
        <w:rPr>
          <w:rFonts w:asciiTheme="majorHAnsi" w:hAnsiTheme="majorHAnsi" w:cstheme="majorHAnsi"/>
        </w:rPr>
        <w:t>demande à l’assemblée délibérante de modifier les modalités d’application du compte</w:t>
      </w:r>
      <w:r w:rsidR="00B27FBA" w:rsidRPr="001B61FF">
        <w:rPr>
          <w:rFonts w:asciiTheme="majorHAnsi" w:hAnsiTheme="majorHAnsi" w:cstheme="majorHAnsi"/>
        </w:rPr>
        <w:t xml:space="preserve"> </w:t>
      </w:r>
      <w:r w:rsidRPr="001B61FF">
        <w:rPr>
          <w:rFonts w:asciiTheme="majorHAnsi" w:hAnsiTheme="majorHAnsi" w:cstheme="majorHAnsi"/>
        </w:rPr>
        <w:t>épargne</w:t>
      </w:r>
      <w:r w:rsidR="00B27FBA" w:rsidRPr="001B61FF">
        <w:rPr>
          <w:rFonts w:asciiTheme="majorHAnsi" w:hAnsiTheme="majorHAnsi" w:cstheme="majorHAnsi"/>
        </w:rPr>
        <w:t>-</w:t>
      </w:r>
      <w:r w:rsidRPr="001B61FF">
        <w:rPr>
          <w:rFonts w:asciiTheme="majorHAnsi" w:hAnsiTheme="majorHAnsi" w:cstheme="majorHAnsi"/>
        </w:rPr>
        <w:t xml:space="preserve">temps dans la collectivité suite à la modification de la réglementation. </w:t>
      </w:r>
    </w:p>
    <w:p w14:paraId="5466D894" w14:textId="77777777" w:rsidR="00C923FE" w:rsidRPr="001B61FF" w:rsidRDefault="00C923FE" w:rsidP="006C707A">
      <w:pPr>
        <w:pStyle w:val="Default"/>
        <w:jc w:val="both"/>
        <w:rPr>
          <w:rFonts w:asciiTheme="majorHAnsi" w:hAnsiTheme="majorHAnsi" w:cstheme="majorHAnsi"/>
        </w:rPr>
      </w:pPr>
    </w:p>
    <w:p w14:paraId="046FAB5D" w14:textId="77777777" w:rsidR="00C923FE" w:rsidRPr="001B61FF" w:rsidRDefault="00C923FE" w:rsidP="006C707A">
      <w:pPr>
        <w:pStyle w:val="Default"/>
        <w:jc w:val="both"/>
        <w:rPr>
          <w:rFonts w:asciiTheme="majorHAnsi" w:hAnsiTheme="majorHAnsi" w:cstheme="majorHAnsi"/>
        </w:rPr>
      </w:pPr>
    </w:p>
    <w:p w14:paraId="69C5974D" w14:textId="77777777" w:rsidR="00C923FE" w:rsidRPr="001B61FF" w:rsidRDefault="00C923FE" w:rsidP="006C707A">
      <w:pPr>
        <w:pStyle w:val="Default"/>
        <w:jc w:val="both"/>
        <w:rPr>
          <w:rFonts w:asciiTheme="majorHAnsi" w:hAnsiTheme="majorHAnsi" w:cstheme="majorHAnsi"/>
        </w:rPr>
      </w:pPr>
    </w:p>
    <w:p w14:paraId="609E539D" w14:textId="77777777" w:rsidR="006C707A" w:rsidRPr="001B61FF" w:rsidRDefault="006C707A" w:rsidP="006C707A">
      <w:pPr>
        <w:pStyle w:val="Default"/>
        <w:rPr>
          <w:rFonts w:asciiTheme="majorHAnsi" w:hAnsiTheme="majorHAnsi" w:cstheme="majorHAnsi"/>
          <w:i/>
          <w:iCs/>
        </w:rPr>
      </w:pPr>
    </w:p>
    <w:p w14:paraId="34FAA732" w14:textId="77777777" w:rsidR="006C707A" w:rsidRPr="001B61FF" w:rsidRDefault="006C707A" w:rsidP="006C707A">
      <w:pPr>
        <w:pStyle w:val="Default"/>
        <w:jc w:val="both"/>
        <w:rPr>
          <w:rFonts w:asciiTheme="majorHAnsi" w:hAnsiTheme="majorHAnsi" w:cstheme="majorHAnsi"/>
          <w:b/>
        </w:rPr>
      </w:pPr>
      <w:r w:rsidRPr="001B61FF">
        <w:rPr>
          <w:rFonts w:asciiTheme="majorHAnsi" w:hAnsiTheme="majorHAnsi" w:cstheme="majorHAnsi"/>
        </w:rPr>
        <w:t xml:space="preserve"> </w:t>
      </w:r>
      <w:r w:rsidRPr="001B61FF">
        <w:rPr>
          <w:rFonts w:asciiTheme="majorHAnsi" w:hAnsiTheme="majorHAnsi" w:cstheme="majorHAnsi"/>
          <w:b/>
        </w:rPr>
        <w:t>Article 1 : Définition et ouverture</w:t>
      </w:r>
    </w:p>
    <w:p w14:paraId="0EECF7FE"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Par exception à la règle de l’annualité des congés </w:t>
      </w:r>
      <w:r w:rsidRPr="001B61FF">
        <w:rPr>
          <w:rFonts w:asciiTheme="majorHAnsi" w:hAnsiTheme="majorHAnsi" w:cstheme="majorHAnsi"/>
          <w:color w:val="000000"/>
          <w:sz w:val="24"/>
          <w:szCs w:val="24"/>
        </w:rPr>
        <w:t xml:space="preserve">qui oblige en principe à solder ses congés au 31 décembre et indépendamment des autorisations exceptionnelles de report, le CET permet à l’agent qui le demande d’accumuler des droits à congés rémunérés afin de les utiliser ou de les valoriser ultérieurement </w:t>
      </w:r>
      <w:r w:rsidRPr="001B61FF">
        <w:rPr>
          <w:rFonts w:asciiTheme="majorHAnsi" w:hAnsiTheme="majorHAnsi" w:cstheme="majorHAnsi"/>
          <w:sz w:val="24"/>
          <w:szCs w:val="24"/>
        </w:rPr>
        <w:t>(en jours ouvrés).</w:t>
      </w:r>
    </w:p>
    <w:p w14:paraId="33F2820C"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L’agent est informé annuellement des droits épargnés et consommés.</w:t>
      </w:r>
    </w:p>
    <w:p w14:paraId="7973D7BA"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Nul n’est obligé de demander le bénéfice d’un compte épargne-temps.</w:t>
      </w:r>
    </w:p>
    <w:p w14:paraId="6C2804D0"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Le compte épargne-temps est institué de droit et peut s’ouvrir à tout moment de l'année sur simple demande expresse des agents concernés par le dispositif. </w:t>
      </w:r>
    </w:p>
    <w:p w14:paraId="564D7E59"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La demande d’ouverture du compte doit être effectuée par écrit auprès de l’autorité territoriale.</w:t>
      </w:r>
    </w:p>
    <w:p w14:paraId="75F4EDA0"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i/>
          <w:color w:val="F4951E"/>
          <w:lang w:eastAsia="fr-FR"/>
        </w:rPr>
        <w:t xml:space="preserve">(Le cas échéant) Cette demande se fera par remise du formulaire de demande d'ouverture annexée à la présente délibération, à </w:t>
      </w:r>
      <w:r w:rsidRPr="001B61FF">
        <w:rPr>
          <w:rFonts w:asciiTheme="majorHAnsi" w:hAnsiTheme="majorHAnsi" w:cstheme="majorHAnsi"/>
          <w:i/>
          <w:iCs/>
          <w:color w:val="F4951E"/>
        </w:rPr>
        <w:t xml:space="preserve"> </w:t>
      </w:r>
      <w:r w:rsidRPr="001B61FF">
        <w:rPr>
          <w:rFonts w:asciiTheme="majorHAnsi" w:hAnsiTheme="majorHAnsi" w:cstheme="majorHAnsi"/>
          <w:i/>
          <w:iCs/>
        </w:rPr>
        <w:t xml:space="preserve">……………….. </w:t>
      </w:r>
    </w:p>
    <w:p w14:paraId="504D1666" w14:textId="77777777" w:rsidR="006C707A" w:rsidRPr="001B61FF" w:rsidRDefault="006C707A" w:rsidP="006C707A">
      <w:pPr>
        <w:pStyle w:val="Default"/>
        <w:jc w:val="both"/>
        <w:rPr>
          <w:rFonts w:asciiTheme="majorHAnsi" w:hAnsiTheme="majorHAnsi" w:cstheme="majorHAnsi"/>
          <w:color w:val="F4951E"/>
        </w:rPr>
      </w:pPr>
      <w:r w:rsidRPr="001B61FF">
        <w:rPr>
          <w:rFonts w:asciiTheme="majorHAnsi" w:hAnsiTheme="majorHAnsi" w:cstheme="majorHAnsi"/>
          <w:i/>
          <w:color w:val="F4951E"/>
          <w:lang w:eastAsia="fr-FR"/>
        </w:rPr>
        <w:t>(Le cas échéant)</w:t>
      </w:r>
      <w:r w:rsidRPr="001B61FF">
        <w:rPr>
          <w:rFonts w:asciiTheme="majorHAnsi" w:hAnsiTheme="majorHAnsi" w:cstheme="majorHAnsi"/>
          <w:i/>
          <w:iCs/>
          <w:color w:val="F4951E"/>
        </w:rPr>
        <w:t xml:space="preserve"> </w:t>
      </w:r>
      <w:r w:rsidRPr="001B61FF">
        <w:rPr>
          <w:rFonts w:asciiTheme="majorHAnsi" w:hAnsiTheme="majorHAnsi" w:cstheme="majorHAnsi"/>
          <w:i/>
          <w:iCs/>
        </w:rPr>
        <w:t xml:space="preserve">Le </w:t>
      </w:r>
      <w:r w:rsidRPr="001B61FF">
        <w:rPr>
          <w:rFonts w:asciiTheme="majorHAnsi" w:hAnsiTheme="majorHAnsi" w:cstheme="majorHAnsi"/>
          <w:i/>
          <w:iCs/>
          <w:color w:val="F4951E"/>
        </w:rPr>
        <w:t>(</w:t>
      </w:r>
      <w:r w:rsidRPr="001B61FF">
        <w:rPr>
          <w:rFonts w:asciiTheme="majorHAnsi" w:hAnsiTheme="majorHAnsi" w:cstheme="majorHAnsi"/>
          <w:i/>
          <w:color w:val="F4951E"/>
          <w:lang w:eastAsia="fr-FR"/>
        </w:rPr>
        <w:t>Maire ou Président</w:t>
      </w:r>
      <w:r w:rsidRPr="001B61FF">
        <w:rPr>
          <w:rFonts w:asciiTheme="majorHAnsi" w:hAnsiTheme="majorHAnsi" w:cstheme="majorHAnsi"/>
          <w:i/>
          <w:iCs/>
          <w:color w:val="F4951E"/>
        </w:rPr>
        <w:t>)</w:t>
      </w:r>
      <w:r w:rsidRPr="001B61FF">
        <w:rPr>
          <w:rFonts w:asciiTheme="majorHAnsi" w:hAnsiTheme="majorHAnsi" w:cstheme="majorHAnsi"/>
          <w:i/>
          <w:iCs/>
        </w:rPr>
        <w:t xml:space="preserve"> ………………..</w:t>
      </w:r>
      <w:r w:rsidRPr="001B61FF">
        <w:rPr>
          <w:rFonts w:asciiTheme="majorHAnsi" w:hAnsiTheme="majorHAnsi" w:cstheme="majorHAnsi"/>
        </w:rPr>
        <w:t xml:space="preserve">accuse réception de la demande d'ouverture du CET dans un délai de ……….jours suivants le dépôt de la demande </w:t>
      </w:r>
      <w:r w:rsidRPr="001B61FF">
        <w:rPr>
          <w:rFonts w:asciiTheme="majorHAnsi" w:hAnsiTheme="majorHAnsi" w:cstheme="majorHAnsi"/>
          <w:color w:val="F4951E"/>
        </w:rPr>
        <w:t xml:space="preserve">(notamment en cas de refus motivé d'ouvrir le CET). </w:t>
      </w:r>
    </w:p>
    <w:p w14:paraId="386129E3" w14:textId="77777777" w:rsidR="006C707A" w:rsidRPr="001B61FF" w:rsidRDefault="006C707A" w:rsidP="006C707A">
      <w:pPr>
        <w:spacing w:before="240" w:after="120" w:line="276" w:lineRule="auto"/>
        <w:jc w:val="both"/>
        <w:rPr>
          <w:rFonts w:asciiTheme="majorHAnsi" w:hAnsiTheme="majorHAnsi" w:cstheme="majorHAnsi"/>
          <w:sz w:val="24"/>
          <w:szCs w:val="24"/>
        </w:rPr>
      </w:pPr>
      <w:r w:rsidRPr="001B61FF">
        <w:rPr>
          <w:rFonts w:asciiTheme="majorHAnsi" w:hAnsiTheme="majorHAnsi" w:cstheme="majorHAnsi"/>
          <w:b/>
          <w:bCs/>
          <w:sz w:val="24"/>
          <w:szCs w:val="24"/>
        </w:rPr>
        <w:t>Article 2 : Bénéficiaires</w:t>
      </w:r>
    </w:p>
    <w:p w14:paraId="0290B359" w14:textId="77777777" w:rsidR="006C707A" w:rsidRPr="001B61FF" w:rsidRDefault="006C707A" w:rsidP="006C707A">
      <w:pPr>
        <w:spacing w:before="180" w:after="180"/>
        <w:ind w:right="-110"/>
        <w:jc w:val="both"/>
        <w:rPr>
          <w:rFonts w:asciiTheme="majorHAnsi" w:hAnsiTheme="majorHAnsi" w:cstheme="majorHAnsi"/>
          <w:bCs/>
          <w:sz w:val="24"/>
          <w:szCs w:val="24"/>
        </w:rPr>
      </w:pPr>
      <w:r w:rsidRPr="001B61FF">
        <w:rPr>
          <w:rFonts w:asciiTheme="majorHAnsi" w:hAnsiTheme="majorHAnsi" w:cstheme="majorHAnsi"/>
          <w:bCs/>
          <w:sz w:val="24"/>
          <w:szCs w:val="24"/>
        </w:rPr>
        <w:t>Les agents concernés par le compte épargne-temps sont les agents titulaires et contractuels de droit public employés de manière continue et ayant accompli au moins une année de service.</w:t>
      </w:r>
    </w:p>
    <w:p w14:paraId="043D148F"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Pour les agents contractuels, la condition de l’engagement continu implique la prise en compte des seuls services accomplis pour le compte de la collectivité qui les </w:t>
      </w:r>
      <w:r w:rsidRPr="001B61FF">
        <w:rPr>
          <w:rFonts w:asciiTheme="majorHAnsi" w:hAnsiTheme="majorHAnsi" w:cstheme="majorHAnsi"/>
          <w:color w:val="000000"/>
          <w:sz w:val="24"/>
          <w:szCs w:val="24"/>
        </w:rPr>
        <w:t>emploie ou de l’un des établissements à caractère administratif auquel elle participe.</w:t>
      </w:r>
      <w:r w:rsidRPr="001B61FF">
        <w:rPr>
          <w:rFonts w:asciiTheme="majorHAnsi" w:hAnsiTheme="majorHAnsi" w:cstheme="majorHAnsi"/>
          <w:sz w:val="24"/>
          <w:szCs w:val="24"/>
        </w:rPr>
        <w:t xml:space="preserve"> </w:t>
      </w:r>
    </w:p>
    <w:p w14:paraId="364A6068" w14:textId="77777777" w:rsidR="006C707A" w:rsidRPr="001B61FF" w:rsidRDefault="006C707A" w:rsidP="006C707A">
      <w:pPr>
        <w:tabs>
          <w:tab w:val="num" w:pos="-360"/>
        </w:tabs>
        <w:spacing w:before="180" w:after="100"/>
        <w:ind w:right="-108"/>
        <w:jc w:val="both"/>
        <w:rPr>
          <w:rFonts w:asciiTheme="majorHAnsi" w:hAnsiTheme="majorHAnsi" w:cstheme="majorHAnsi"/>
          <w:sz w:val="24"/>
          <w:szCs w:val="24"/>
        </w:rPr>
      </w:pPr>
      <w:r w:rsidRPr="001B61FF">
        <w:rPr>
          <w:rFonts w:asciiTheme="majorHAnsi" w:hAnsiTheme="majorHAnsi" w:cstheme="majorHAnsi"/>
          <w:bCs/>
          <w:sz w:val="24"/>
          <w:szCs w:val="24"/>
        </w:rPr>
        <w:t xml:space="preserve">Ne peuvent pas bénéficier d’un compte épargne-temps : </w:t>
      </w:r>
      <w:r w:rsidRPr="001B61FF">
        <w:rPr>
          <w:rFonts w:asciiTheme="majorHAnsi" w:hAnsiTheme="majorHAnsi" w:cstheme="majorHAnsi"/>
          <w:sz w:val="24"/>
          <w:szCs w:val="24"/>
        </w:rPr>
        <w:t>les fonctionnaires stagiaires, les agents relevant du régime d’obligation de service défini dans les statuts particuliers de leur cadre d’emplois (notamment le cas des professeurs et des assistants d’enseignement artistique), les agents de droit privé et les assistants maternels.</w:t>
      </w:r>
    </w:p>
    <w:p w14:paraId="5E6157ED" w14:textId="77777777" w:rsidR="006C707A" w:rsidRPr="001B61FF" w:rsidRDefault="006C707A" w:rsidP="006C707A">
      <w:pPr>
        <w:spacing w:before="240" w:after="120" w:line="276" w:lineRule="auto"/>
        <w:ind w:right="-108"/>
        <w:jc w:val="both"/>
        <w:rPr>
          <w:rFonts w:asciiTheme="majorHAnsi" w:hAnsiTheme="majorHAnsi" w:cstheme="majorHAnsi"/>
          <w:b/>
          <w:sz w:val="24"/>
          <w:szCs w:val="24"/>
        </w:rPr>
      </w:pPr>
      <w:bookmarkStart w:id="0" w:name="_Hlk155695725"/>
      <w:r w:rsidRPr="001B61FF">
        <w:rPr>
          <w:rFonts w:asciiTheme="majorHAnsi" w:hAnsiTheme="majorHAnsi" w:cstheme="majorHAnsi"/>
          <w:b/>
          <w:sz w:val="24"/>
          <w:szCs w:val="24"/>
        </w:rPr>
        <w:t>Article 3 : Garanties</w:t>
      </w:r>
    </w:p>
    <w:bookmarkEnd w:id="0"/>
    <w:p w14:paraId="57770E11"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L’autorité territoriale peut refuser l’ouverture d’un compte épargne-temps si l’agent demandeur ne remplit pas les conditions pour y ouvrir droit. La décision de refus d’ouverture du compte épargne-temps est motivée. </w:t>
      </w:r>
    </w:p>
    <w:p w14:paraId="0D637C65"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L’autorité territoriale</w:t>
      </w:r>
      <w:r w:rsidRPr="001B61FF">
        <w:rPr>
          <w:rFonts w:asciiTheme="majorHAnsi" w:hAnsiTheme="majorHAnsi" w:cstheme="majorHAnsi"/>
          <w:color w:val="C45911"/>
          <w:sz w:val="24"/>
          <w:szCs w:val="24"/>
        </w:rPr>
        <w:t xml:space="preserve"> </w:t>
      </w:r>
      <w:r w:rsidRPr="001B61FF">
        <w:rPr>
          <w:rFonts w:asciiTheme="majorHAnsi" w:hAnsiTheme="majorHAnsi" w:cstheme="majorHAnsi"/>
          <w:sz w:val="24"/>
          <w:szCs w:val="24"/>
        </w:rPr>
        <w:t xml:space="preserve">informe annuellement les agents des droits épargnés et consommés au titre du compte épargne-temps. </w:t>
      </w:r>
    </w:p>
    <w:p w14:paraId="3CA7D67B" w14:textId="77777777" w:rsidR="006C707A" w:rsidRPr="001B61FF" w:rsidRDefault="006C707A" w:rsidP="006C707A">
      <w:pPr>
        <w:spacing w:before="240" w:after="120" w:line="276" w:lineRule="auto"/>
        <w:ind w:right="-108"/>
        <w:jc w:val="both"/>
        <w:rPr>
          <w:rFonts w:asciiTheme="majorHAnsi" w:hAnsiTheme="majorHAnsi" w:cstheme="majorHAnsi"/>
          <w:sz w:val="24"/>
          <w:szCs w:val="24"/>
        </w:rPr>
      </w:pPr>
      <w:r w:rsidRPr="001B61FF">
        <w:rPr>
          <w:rFonts w:asciiTheme="majorHAnsi" w:hAnsiTheme="majorHAnsi" w:cstheme="majorHAnsi"/>
          <w:b/>
          <w:sz w:val="24"/>
          <w:szCs w:val="24"/>
        </w:rPr>
        <w:t>Article 4 : Alimentation du CET</w:t>
      </w:r>
      <w:r w:rsidRPr="001B61FF">
        <w:rPr>
          <w:rFonts w:asciiTheme="majorHAnsi" w:hAnsiTheme="majorHAnsi" w:cstheme="majorHAnsi"/>
          <w:b/>
          <w:bCs/>
          <w:i/>
          <w:iCs/>
          <w:sz w:val="24"/>
          <w:szCs w:val="24"/>
        </w:rPr>
        <w:t xml:space="preserve"> </w:t>
      </w:r>
    </w:p>
    <w:p w14:paraId="0DDBF179"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Le CET est alimenté par : </w:t>
      </w:r>
    </w:p>
    <w:p w14:paraId="49CB58B1" w14:textId="77777777" w:rsidR="006C707A" w:rsidRPr="001B61FF" w:rsidRDefault="006C707A" w:rsidP="006C707A">
      <w:pPr>
        <w:pStyle w:val="Default"/>
        <w:numPr>
          <w:ilvl w:val="0"/>
          <w:numId w:val="46"/>
        </w:numPr>
        <w:jc w:val="both"/>
        <w:rPr>
          <w:rFonts w:asciiTheme="majorHAnsi" w:hAnsiTheme="majorHAnsi" w:cstheme="majorHAnsi"/>
        </w:rPr>
      </w:pPr>
      <w:r w:rsidRPr="001B61FF">
        <w:rPr>
          <w:rFonts w:asciiTheme="majorHAnsi" w:hAnsiTheme="majorHAnsi" w:cstheme="majorHAnsi"/>
        </w:rPr>
        <w:t xml:space="preserve">Le report de congés annuels, sans que le nombre de jours de congés annuels pris dans l'année puisse être inférieur </w:t>
      </w:r>
      <w:r w:rsidRPr="001B61FF">
        <w:rPr>
          <w:rFonts w:asciiTheme="majorHAnsi" w:hAnsiTheme="majorHAnsi" w:cstheme="majorHAnsi"/>
          <w:i/>
          <w:iCs/>
        </w:rPr>
        <w:t xml:space="preserve">à 20 </w:t>
      </w:r>
      <w:r w:rsidRPr="001B61FF">
        <w:rPr>
          <w:rFonts w:asciiTheme="majorHAnsi" w:hAnsiTheme="majorHAnsi" w:cstheme="majorHAnsi"/>
        </w:rPr>
        <w:t xml:space="preserve">(proratisés pour les agents à temps partiel et à temps non complet - </w:t>
      </w:r>
      <w:r w:rsidRPr="001B61FF">
        <w:rPr>
          <w:rFonts w:asciiTheme="majorHAnsi" w:hAnsiTheme="majorHAnsi" w:cstheme="majorHAnsi"/>
          <w:i/>
          <w:color w:val="F4951E"/>
          <w:lang w:eastAsia="fr-FR"/>
        </w:rPr>
        <w:t>cette restriction doit être interprétée comme étant 4 fois les obligations hebdomadaires de service d'un agent travaillant 5 jours, un agent qui travaille 3 jours par semaine devra avoir pris 12 jours de congés annuels pour pouvoir alimenter son C.E.T</w:t>
      </w:r>
      <w:r w:rsidRPr="001B61FF">
        <w:rPr>
          <w:rFonts w:asciiTheme="majorHAnsi" w:hAnsiTheme="majorHAnsi" w:cstheme="majorHAnsi"/>
          <w:color w:val="F4951E"/>
        </w:rPr>
        <w:t xml:space="preserve">), </w:t>
      </w:r>
      <w:r w:rsidRPr="001B61FF">
        <w:rPr>
          <w:rFonts w:asciiTheme="majorHAnsi" w:hAnsiTheme="majorHAnsi" w:cstheme="majorHAnsi"/>
        </w:rPr>
        <w:t>ainsi que les jours de fractionnement (acquis au titre des jours de congés annuels pris hors de la période du 1</w:t>
      </w:r>
      <w:r w:rsidRPr="001B61FF">
        <w:rPr>
          <w:rFonts w:asciiTheme="majorHAnsi" w:hAnsiTheme="majorHAnsi" w:cstheme="majorHAnsi"/>
          <w:vertAlign w:val="superscript"/>
        </w:rPr>
        <w:t>er</w:t>
      </w:r>
      <w:r w:rsidRPr="001B61FF">
        <w:rPr>
          <w:rFonts w:asciiTheme="majorHAnsi" w:hAnsiTheme="majorHAnsi" w:cstheme="majorHAnsi"/>
        </w:rPr>
        <w:t xml:space="preserve"> mai au 31 octobre) ; </w:t>
      </w:r>
    </w:p>
    <w:p w14:paraId="19165ED0"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Les jours de congés annuels qui ne sont pas pris dans l’année ni reportés sur l’année suivante et qui ne sont pas inscrits sur le compte épargne-temps sont définitivement perdus. </w:t>
      </w:r>
    </w:p>
    <w:p w14:paraId="0A40033E" w14:textId="77777777" w:rsidR="006C707A" w:rsidRPr="001B61FF" w:rsidRDefault="006C707A" w:rsidP="006C707A">
      <w:pPr>
        <w:pStyle w:val="Paragraphedeliste"/>
        <w:numPr>
          <w:ilvl w:val="0"/>
          <w:numId w:val="46"/>
        </w:numPr>
        <w:spacing w:before="180" w:after="180"/>
        <w:ind w:right="-110"/>
        <w:jc w:val="both"/>
        <w:rPr>
          <w:rFonts w:asciiTheme="majorHAnsi" w:hAnsiTheme="majorHAnsi" w:cstheme="majorHAnsi"/>
          <w:i/>
          <w:iCs/>
          <w:color w:val="000000"/>
          <w:sz w:val="24"/>
          <w:szCs w:val="24"/>
          <w:u w:val="single"/>
        </w:rPr>
      </w:pPr>
      <w:r w:rsidRPr="001B61FF">
        <w:rPr>
          <w:rFonts w:asciiTheme="majorHAnsi" w:hAnsiTheme="majorHAnsi" w:cstheme="majorHAnsi"/>
          <w:sz w:val="24"/>
          <w:szCs w:val="24"/>
        </w:rPr>
        <w:t xml:space="preserve">Le report de jours de récupération au titre de l’ARTT </w:t>
      </w:r>
      <w:r w:rsidRPr="001B61FF">
        <w:rPr>
          <w:rFonts w:asciiTheme="majorHAnsi" w:hAnsiTheme="majorHAnsi" w:cstheme="majorHAnsi"/>
          <w:i/>
          <w:iCs/>
          <w:color w:val="F4951E"/>
          <w:sz w:val="24"/>
          <w:szCs w:val="24"/>
          <w:u w:val="single"/>
        </w:rPr>
        <w:t>(Si la collectivité a mis en place, après avis du Comité Social Territorial, un régime de temps de travail impliquant l’octroi de jours d’ARTT aux agents)</w:t>
      </w:r>
      <w:r w:rsidRPr="001B61FF">
        <w:rPr>
          <w:rFonts w:asciiTheme="majorHAnsi" w:hAnsiTheme="majorHAnsi" w:cstheme="majorHAnsi"/>
          <w:i/>
          <w:iCs/>
          <w:color w:val="FF0000"/>
          <w:sz w:val="24"/>
          <w:szCs w:val="24"/>
        </w:rPr>
        <w:t xml:space="preserve"> </w:t>
      </w:r>
      <w:r w:rsidRPr="001B61FF">
        <w:rPr>
          <w:rFonts w:asciiTheme="majorHAnsi" w:hAnsiTheme="majorHAnsi" w:cstheme="majorHAnsi"/>
          <w:sz w:val="24"/>
          <w:szCs w:val="24"/>
        </w:rPr>
        <w:t>et sans limitation du nombre de jours pouvant y être déposés ;</w:t>
      </w:r>
    </w:p>
    <w:p w14:paraId="54C92568" w14:textId="77777777" w:rsidR="006C707A" w:rsidRPr="001B61FF" w:rsidRDefault="006C707A" w:rsidP="006C707A">
      <w:pPr>
        <w:pStyle w:val="Paragraphedeliste"/>
        <w:spacing w:before="180" w:after="180"/>
        <w:ind w:right="-110"/>
        <w:jc w:val="both"/>
        <w:rPr>
          <w:rFonts w:asciiTheme="majorHAnsi" w:hAnsiTheme="majorHAnsi" w:cstheme="majorHAnsi"/>
          <w:i/>
          <w:iCs/>
          <w:color w:val="000000"/>
          <w:sz w:val="24"/>
          <w:szCs w:val="24"/>
          <w:u w:val="single"/>
        </w:rPr>
      </w:pPr>
    </w:p>
    <w:p w14:paraId="43ACF659" w14:textId="77777777" w:rsidR="006C707A" w:rsidRPr="001B61FF" w:rsidRDefault="006C707A" w:rsidP="006C707A">
      <w:pPr>
        <w:pStyle w:val="Paragraphedeliste"/>
        <w:numPr>
          <w:ilvl w:val="0"/>
          <w:numId w:val="46"/>
        </w:numPr>
        <w:autoSpaceDE w:val="0"/>
        <w:autoSpaceDN w:val="0"/>
        <w:adjustRightInd w:val="0"/>
        <w:jc w:val="both"/>
        <w:rPr>
          <w:rFonts w:asciiTheme="majorHAnsi" w:hAnsiTheme="majorHAnsi" w:cstheme="majorHAnsi"/>
          <w:bCs/>
          <w:sz w:val="24"/>
          <w:szCs w:val="24"/>
        </w:rPr>
      </w:pPr>
      <w:r w:rsidRPr="001B61FF">
        <w:rPr>
          <w:rFonts w:asciiTheme="majorHAnsi" w:hAnsiTheme="majorHAnsi" w:cstheme="majorHAnsi"/>
          <w:i/>
          <w:color w:val="F4951E"/>
          <w:sz w:val="24"/>
          <w:szCs w:val="24"/>
        </w:rPr>
        <w:t>Le cas échéant</w:t>
      </w:r>
      <w:r w:rsidRPr="001B61FF">
        <w:rPr>
          <w:rFonts w:asciiTheme="majorHAnsi" w:hAnsiTheme="majorHAnsi" w:cstheme="majorHAnsi"/>
          <w:i/>
          <w:iCs/>
          <w:color w:val="F4951E"/>
          <w:sz w:val="24"/>
          <w:szCs w:val="24"/>
        </w:rPr>
        <w:t xml:space="preserve"> </w:t>
      </w:r>
      <w:r w:rsidRPr="001B61FF">
        <w:rPr>
          <w:rFonts w:asciiTheme="majorHAnsi" w:hAnsiTheme="majorHAnsi" w:cstheme="majorHAnsi"/>
          <w:i/>
          <w:iCs/>
          <w:color w:val="F4951E"/>
          <w:sz w:val="24"/>
          <w:szCs w:val="24"/>
          <w:highlight w:val="yellow"/>
        </w:rPr>
        <w:t>à déterminer</w:t>
      </w:r>
      <w:r w:rsidRPr="001B61FF">
        <w:rPr>
          <w:rFonts w:asciiTheme="majorHAnsi" w:hAnsiTheme="majorHAnsi" w:cstheme="majorHAnsi"/>
          <w:i/>
          <w:iCs/>
          <w:color w:val="F4951E"/>
          <w:sz w:val="24"/>
          <w:szCs w:val="24"/>
        </w:rPr>
        <w:t xml:space="preserve"> </w:t>
      </w:r>
      <w:r w:rsidRPr="001B61FF">
        <w:rPr>
          <w:rFonts w:asciiTheme="majorHAnsi" w:hAnsiTheme="majorHAnsi" w:cstheme="majorHAnsi"/>
          <w:sz w:val="24"/>
          <w:szCs w:val="24"/>
        </w:rPr>
        <w:t xml:space="preserve">: </w:t>
      </w:r>
      <w:r w:rsidRPr="001B61FF">
        <w:rPr>
          <w:rFonts w:asciiTheme="majorHAnsi" w:hAnsiTheme="majorHAnsi" w:cstheme="majorHAnsi"/>
          <w:bCs/>
          <w:sz w:val="24"/>
          <w:szCs w:val="24"/>
        </w:rPr>
        <w:t xml:space="preserve">le report d’une partie </w:t>
      </w:r>
      <w:r w:rsidRPr="001B61FF">
        <w:rPr>
          <w:rFonts w:asciiTheme="majorHAnsi" w:hAnsiTheme="majorHAnsi" w:cstheme="majorHAnsi"/>
          <w:b/>
          <w:bCs/>
          <w:i/>
          <w:sz w:val="24"/>
          <w:szCs w:val="24"/>
        </w:rPr>
        <w:t>(à quantifier) OU</w:t>
      </w:r>
      <w:r w:rsidRPr="001B61FF">
        <w:rPr>
          <w:rFonts w:asciiTheme="majorHAnsi" w:hAnsiTheme="majorHAnsi" w:cstheme="majorHAnsi"/>
          <w:bCs/>
          <w:sz w:val="24"/>
          <w:szCs w:val="24"/>
        </w:rPr>
        <w:t xml:space="preserve"> de la totalité des jours de repos compensateur</w:t>
      </w:r>
      <w:r w:rsidRPr="001B61FF">
        <w:rPr>
          <w:rFonts w:asciiTheme="majorHAnsi" w:hAnsiTheme="majorHAnsi" w:cstheme="majorHAnsi"/>
          <w:sz w:val="24"/>
          <w:szCs w:val="24"/>
        </w:rPr>
        <w:t xml:space="preserve"> (récupération des heures supplémentaires ou complémentaires notamment) </w:t>
      </w:r>
    </w:p>
    <w:p w14:paraId="5D739FED" w14:textId="77777777" w:rsidR="006C707A" w:rsidRPr="001B61FF" w:rsidRDefault="006C707A" w:rsidP="006C707A">
      <w:pPr>
        <w:ind w:right="-110"/>
        <w:jc w:val="both"/>
        <w:rPr>
          <w:rFonts w:asciiTheme="majorHAnsi" w:hAnsiTheme="majorHAnsi" w:cstheme="majorHAnsi"/>
          <w:sz w:val="24"/>
          <w:szCs w:val="24"/>
        </w:rPr>
      </w:pPr>
      <w:r w:rsidRPr="001B61FF">
        <w:rPr>
          <w:rFonts w:asciiTheme="majorHAnsi" w:hAnsiTheme="majorHAnsi" w:cstheme="majorHAnsi"/>
          <w:i/>
          <w:color w:val="F4951E"/>
          <w:sz w:val="24"/>
          <w:szCs w:val="24"/>
        </w:rPr>
        <w:t xml:space="preserve">(Le cas échéant) </w:t>
      </w:r>
      <w:r w:rsidRPr="001B61FF">
        <w:rPr>
          <w:rFonts w:asciiTheme="majorHAnsi" w:hAnsiTheme="majorHAnsi" w:cstheme="majorHAnsi"/>
          <w:sz w:val="24"/>
          <w:szCs w:val="24"/>
        </w:rPr>
        <w:t xml:space="preserve">Le nombre de jours de repos compensateur cumulable sur le compte épargne-temps est limité à …………. jours par année civile. </w:t>
      </w:r>
    </w:p>
    <w:p w14:paraId="37CB4102" w14:textId="77777777" w:rsidR="006C707A" w:rsidRPr="001B61FF" w:rsidRDefault="006C707A" w:rsidP="006C707A">
      <w:pPr>
        <w:ind w:right="-110"/>
        <w:jc w:val="both"/>
        <w:rPr>
          <w:rFonts w:asciiTheme="majorHAnsi" w:hAnsiTheme="majorHAnsi" w:cstheme="majorHAnsi"/>
          <w:i/>
          <w:color w:val="F4951E"/>
          <w:sz w:val="24"/>
          <w:szCs w:val="24"/>
        </w:rPr>
      </w:pPr>
      <w:r w:rsidRPr="001B61FF">
        <w:rPr>
          <w:rFonts w:asciiTheme="majorHAnsi" w:hAnsiTheme="majorHAnsi" w:cstheme="majorHAnsi"/>
          <w:i/>
          <w:color w:val="F4951E"/>
          <w:sz w:val="24"/>
          <w:szCs w:val="24"/>
        </w:rPr>
        <w:t>(Une même heure complémentaire ou supplémentaire ne peut donner lieu à la fois à un repos compensateur et à une indemnisation, les heures ainsi indemnisées ne peuvent donc pas être épargnées sur le compte épargne-temps).</w:t>
      </w:r>
    </w:p>
    <w:p w14:paraId="0B89B183" w14:textId="77777777" w:rsidR="006C707A" w:rsidRPr="001B61FF" w:rsidRDefault="006C707A" w:rsidP="006C707A">
      <w:pPr>
        <w:spacing w:after="180"/>
        <w:ind w:right="-110"/>
        <w:jc w:val="both"/>
        <w:rPr>
          <w:rFonts w:asciiTheme="majorHAnsi" w:hAnsiTheme="majorHAnsi" w:cstheme="majorHAnsi"/>
          <w:sz w:val="24"/>
          <w:szCs w:val="24"/>
        </w:rPr>
      </w:pPr>
      <w:r w:rsidRPr="001B61FF">
        <w:rPr>
          <w:rFonts w:asciiTheme="majorHAnsi" w:hAnsiTheme="majorHAnsi" w:cstheme="majorHAnsi"/>
          <w:sz w:val="24"/>
          <w:szCs w:val="24"/>
        </w:rPr>
        <w:t>Les repos compensateurs sont transformés en jours s’ils sont exprimés en heures, par référence à la durée moyenne quotidienne de travail et ne peuvent être placés sur le compte que par journée complète acquise.</w:t>
      </w:r>
    </w:p>
    <w:p w14:paraId="3C6BA284" w14:textId="77777777" w:rsidR="006C707A" w:rsidRPr="001B61FF" w:rsidRDefault="006C707A" w:rsidP="006C707A">
      <w:pPr>
        <w:spacing w:before="240" w:after="120" w:line="276" w:lineRule="auto"/>
        <w:ind w:right="-108"/>
        <w:jc w:val="both"/>
        <w:rPr>
          <w:rFonts w:asciiTheme="majorHAnsi" w:hAnsiTheme="majorHAnsi" w:cstheme="majorHAnsi"/>
          <w:b/>
          <w:sz w:val="24"/>
          <w:szCs w:val="24"/>
        </w:rPr>
      </w:pPr>
      <w:r w:rsidRPr="001B61FF">
        <w:rPr>
          <w:rFonts w:asciiTheme="majorHAnsi" w:hAnsiTheme="majorHAnsi" w:cstheme="majorHAnsi"/>
          <w:b/>
          <w:sz w:val="24"/>
          <w:szCs w:val="24"/>
        </w:rPr>
        <w:t xml:space="preserve">Article 5 : Procédure d’alimentation du CET </w:t>
      </w:r>
    </w:p>
    <w:p w14:paraId="08467713" w14:textId="77777777" w:rsidR="006C707A" w:rsidRPr="001B61FF" w:rsidRDefault="006C707A" w:rsidP="006C707A">
      <w:pPr>
        <w:pStyle w:val="Default"/>
        <w:jc w:val="both"/>
        <w:rPr>
          <w:rFonts w:asciiTheme="majorHAnsi" w:hAnsiTheme="majorHAnsi" w:cstheme="majorHAnsi"/>
          <w:i/>
          <w:color w:val="F4951E"/>
          <w:lang w:eastAsia="fr-FR"/>
        </w:rPr>
      </w:pPr>
      <w:r w:rsidRPr="001B61FF">
        <w:rPr>
          <w:rFonts w:asciiTheme="majorHAnsi" w:hAnsiTheme="majorHAnsi" w:cstheme="majorHAnsi"/>
          <w:i/>
          <w:color w:val="F4951E"/>
          <w:lang w:eastAsia="fr-FR"/>
        </w:rPr>
        <w:t xml:space="preserve">(Le cas échéant) La demande d’alimentation du CET pourra se faire par le biais du formulaire de demande d'alimentation annexée à la présente délibération. </w:t>
      </w:r>
    </w:p>
    <w:p w14:paraId="1252D492" w14:textId="77777777" w:rsidR="006C707A" w:rsidRPr="001B61FF" w:rsidRDefault="006C707A" w:rsidP="006C707A">
      <w:pPr>
        <w:pStyle w:val="Default"/>
        <w:jc w:val="both"/>
        <w:rPr>
          <w:rFonts w:asciiTheme="majorHAnsi" w:hAnsiTheme="majorHAnsi" w:cstheme="majorHAnsi"/>
        </w:rPr>
      </w:pPr>
    </w:p>
    <w:p w14:paraId="0EB18F27" w14:textId="77777777" w:rsidR="006C707A" w:rsidRPr="001B61FF" w:rsidRDefault="006C707A" w:rsidP="006C707A">
      <w:pPr>
        <w:pStyle w:val="Default"/>
        <w:jc w:val="both"/>
        <w:rPr>
          <w:rFonts w:asciiTheme="majorHAnsi" w:hAnsiTheme="majorHAnsi" w:cstheme="majorHAnsi"/>
          <w:color w:val="F4951E"/>
        </w:rPr>
      </w:pPr>
      <w:r w:rsidRPr="001B61FF">
        <w:rPr>
          <w:rFonts w:asciiTheme="majorHAnsi" w:hAnsiTheme="majorHAnsi" w:cstheme="majorHAnsi"/>
        </w:rPr>
        <w:t xml:space="preserve">Elle devra être transmise auprès du service gestionnaire du CET </w:t>
      </w:r>
      <w:r w:rsidRPr="001B61FF">
        <w:rPr>
          <w:rFonts w:asciiTheme="majorHAnsi" w:hAnsiTheme="majorHAnsi" w:cstheme="majorHAnsi"/>
          <w:highlight w:val="yellow"/>
        </w:rPr>
        <w:t>avant le</w:t>
      </w:r>
      <w:r w:rsidRPr="001B61FF">
        <w:rPr>
          <w:rFonts w:asciiTheme="majorHAnsi" w:hAnsiTheme="majorHAnsi" w:cstheme="majorHAnsi"/>
        </w:rPr>
        <w:t xml:space="preserve"> ………………………. </w:t>
      </w:r>
      <w:r w:rsidRPr="001B61FF">
        <w:rPr>
          <w:rFonts w:asciiTheme="majorHAnsi" w:hAnsiTheme="majorHAnsi" w:cstheme="majorHAnsi"/>
          <w:color w:val="F4951E"/>
        </w:rPr>
        <w:t>(31 décembre de l’année par défaut)</w:t>
      </w:r>
    </w:p>
    <w:p w14:paraId="4CCD81CA" w14:textId="77777777" w:rsidR="006C707A" w:rsidRPr="001B61FF" w:rsidRDefault="006C707A" w:rsidP="006C707A">
      <w:pPr>
        <w:pStyle w:val="Default"/>
        <w:jc w:val="both"/>
        <w:rPr>
          <w:rFonts w:asciiTheme="majorHAnsi" w:hAnsiTheme="majorHAnsi" w:cstheme="majorHAnsi"/>
        </w:rPr>
      </w:pPr>
    </w:p>
    <w:p w14:paraId="02F90C30"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Cette demande ne sera effectuée qu’une fois par an </w:t>
      </w:r>
      <w:r w:rsidRPr="001B61FF">
        <w:rPr>
          <w:rFonts w:asciiTheme="majorHAnsi" w:hAnsiTheme="majorHAnsi" w:cstheme="majorHAnsi"/>
          <w:i/>
          <w:iCs/>
          <w:color w:val="F4951E"/>
        </w:rPr>
        <w:t>(l’année de référence est généralement l’année civile mais l’année scolaire peut être retenue, par exemple pour les ATSEM</w:t>
      </w:r>
      <w:r w:rsidRPr="001B61FF">
        <w:rPr>
          <w:rFonts w:asciiTheme="majorHAnsi" w:hAnsiTheme="majorHAnsi" w:cstheme="majorHAnsi"/>
          <w:color w:val="F4951E"/>
        </w:rPr>
        <w:t>)</w:t>
      </w:r>
      <w:r w:rsidRPr="001B61FF">
        <w:rPr>
          <w:rFonts w:asciiTheme="majorHAnsi" w:hAnsiTheme="majorHAnsi" w:cstheme="majorHAnsi"/>
        </w:rPr>
        <w:t xml:space="preserve">. Elle doit indiquer la nature et le nombre de jours que l’agent souhaite verser sur son compte. </w:t>
      </w:r>
    </w:p>
    <w:p w14:paraId="27552CD6" w14:textId="77777777" w:rsidR="006C707A" w:rsidRPr="001B61FF" w:rsidRDefault="006C707A" w:rsidP="006C707A">
      <w:pPr>
        <w:pStyle w:val="Default"/>
        <w:jc w:val="both"/>
        <w:rPr>
          <w:rFonts w:asciiTheme="majorHAnsi" w:hAnsiTheme="majorHAnsi" w:cstheme="majorHAnsi"/>
        </w:rPr>
      </w:pPr>
    </w:p>
    <w:p w14:paraId="09A5C558"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Le CET peut être alimenté dans la limite de 60 jours. </w:t>
      </w:r>
    </w:p>
    <w:p w14:paraId="379082E8" w14:textId="77777777" w:rsidR="006C707A" w:rsidRPr="001B61FF" w:rsidRDefault="006C707A" w:rsidP="006C707A">
      <w:pPr>
        <w:spacing w:before="240" w:after="120" w:line="276" w:lineRule="auto"/>
        <w:ind w:right="-108"/>
        <w:jc w:val="both"/>
        <w:rPr>
          <w:rFonts w:asciiTheme="majorHAnsi" w:hAnsiTheme="majorHAnsi" w:cstheme="majorHAnsi"/>
          <w:b/>
          <w:sz w:val="24"/>
          <w:szCs w:val="24"/>
        </w:rPr>
      </w:pPr>
      <w:r w:rsidRPr="001B61FF">
        <w:rPr>
          <w:rFonts w:asciiTheme="majorHAnsi" w:hAnsiTheme="majorHAnsi" w:cstheme="majorHAnsi"/>
          <w:b/>
          <w:sz w:val="24"/>
          <w:szCs w:val="24"/>
        </w:rPr>
        <w:t xml:space="preserve">Article 6 : Utilisation du CET </w:t>
      </w:r>
    </w:p>
    <w:p w14:paraId="3DFAD220"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Le CET peut être utilisé sans limitation de durée. </w:t>
      </w:r>
    </w:p>
    <w:p w14:paraId="5A5BF947" w14:textId="77777777" w:rsidR="006C707A" w:rsidRPr="001B61FF" w:rsidRDefault="006C707A" w:rsidP="006C707A">
      <w:pPr>
        <w:pStyle w:val="Default"/>
        <w:rPr>
          <w:rFonts w:asciiTheme="majorHAnsi" w:hAnsiTheme="majorHAnsi" w:cstheme="majorHAnsi"/>
        </w:rPr>
      </w:pPr>
    </w:p>
    <w:p w14:paraId="157708F7" w14:textId="77777777" w:rsidR="006C707A" w:rsidRPr="001B61FF" w:rsidRDefault="006C707A" w:rsidP="006C707A">
      <w:pPr>
        <w:jc w:val="both"/>
        <w:rPr>
          <w:rFonts w:asciiTheme="majorHAnsi" w:hAnsiTheme="majorHAnsi" w:cstheme="majorHAnsi"/>
          <w:sz w:val="24"/>
          <w:szCs w:val="24"/>
        </w:rPr>
      </w:pPr>
      <w:r w:rsidRPr="001B61FF">
        <w:rPr>
          <w:rFonts w:asciiTheme="majorHAnsi" w:hAnsiTheme="majorHAnsi" w:cstheme="majorHAnsi"/>
          <w:sz w:val="24"/>
          <w:szCs w:val="24"/>
        </w:rPr>
        <w:t xml:space="preserve">Le service gestionnaire du CET informera l’agent chaque année de la situation de son CET (jours épargnés et consommés) avant le ……………………… </w:t>
      </w:r>
      <w:r w:rsidRPr="001B61FF">
        <w:rPr>
          <w:rFonts w:asciiTheme="majorHAnsi" w:hAnsiTheme="majorHAnsi" w:cstheme="majorHAnsi"/>
          <w:color w:val="F4951E"/>
          <w:sz w:val="24"/>
          <w:szCs w:val="24"/>
        </w:rPr>
        <w:t>(</w:t>
      </w:r>
      <w:r w:rsidRPr="001B61FF">
        <w:rPr>
          <w:rFonts w:asciiTheme="majorHAnsi" w:hAnsiTheme="majorHAnsi" w:cstheme="majorHAnsi"/>
          <w:color w:val="F4951E"/>
          <w:sz w:val="24"/>
          <w:szCs w:val="24"/>
          <w:highlight w:val="yellow"/>
        </w:rPr>
        <w:t>date à déterminer</w:t>
      </w:r>
      <w:r w:rsidRPr="001B61FF">
        <w:rPr>
          <w:rFonts w:asciiTheme="majorHAnsi" w:hAnsiTheme="majorHAnsi" w:cstheme="majorHAnsi"/>
          <w:color w:val="F4951E"/>
          <w:sz w:val="24"/>
          <w:szCs w:val="24"/>
        </w:rPr>
        <w:t xml:space="preserve">) </w:t>
      </w:r>
      <w:r w:rsidRPr="001B61FF">
        <w:rPr>
          <w:rFonts w:asciiTheme="majorHAnsi" w:hAnsiTheme="majorHAnsi" w:cstheme="majorHAnsi"/>
          <w:sz w:val="24"/>
          <w:szCs w:val="24"/>
        </w:rPr>
        <w:t xml:space="preserve">(le délai d’information doit permettre à l’agent de choisir son option avant le 31 janvier de l’année N+1), </w:t>
      </w:r>
      <w:r w:rsidRPr="001B61FF">
        <w:rPr>
          <w:rFonts w:asciiTheme="majorHAnsi" w:hAnsiTheme="majorHAnsi" w:cstheme="majorHAnsi"/>
          <w:i/>
          <w:color w:val="F4951E"/>
          <w:sz w:val="24"/>
          <w:szCs w:val="24"/>
        </w:rPr>
        <w:t>(Le cas échéant)</w:t>
      </w:r>
      <w:r w:rsidRPr="001B61FF">
        <w:rPr>
          <w:rFonts w:asciiTheme="majorHAnsi" w:hAnsiTheme="majorHAnsi" w:cstheme="majorHAnsi"/>
          <w:i/>
          <w:iCs/>
          <w:color w:val="F4951E"/>
          <w:sz w:val="24"/>
          <w:szCs w:val="24"/>
        </w:rPr>
        <w:t xml:space="preserve"> </w:t>
      </w:r>
      <w:r w:rsidRPr="001B61FF">
        <w:rPr>
          <w:rFonts w:asciiTheme="majorHAnsi" w:hAnsiTheme="majorHAnsi" w:cstheme="majorHAnsi"/>
          <w:sz w:val="24"/>
          <w:szCs w:val="24"/>
        </w:rPr>
        <w:t xml:space="preserve">en utilisant le formulaire annexé à la présente délibération. </w:t>
      </w:r>
    </w:p>
    <w:p w14:paraId="129F9BFD" w14:textId="77777777" w:rsidR="006C707A" w:rsidRPr="001B61FF" w:rsidRDefault="006C707A" w:rsidP="006C707A">
      <w:pPr>
        <w:jc w:val="both"/>
        <w:rPr>
          <w:rFonts w:asciiTheme="majorHAnsi" w:hAnsiTheme="majorHAnsi" w:cstheme="majorHAnsi"/>
          <w:sz w:val="24"/>
          <w:szCs w:val="24"/>
        </w:rPr>
      </w:pPr>
    </w:p>
    <w:p w14:paraId="102FEB7D"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Les jours de congés pris au titre du CET, s’inscrivent dans le calendrier des congés annuels de la commune </w:t>
      </w:r>
      <w:r w:rsidRPr="001B61FF">
        <w:rPr>
          <w:rFonts w:asciiTheme="majorHAnsi" w:hAnsiTheme="majorHAnsi" w:cstheme="majorHAnsi"/>
          <w:i/>
          <w:color w:val="F4951E"/>
          <w:lang w:eastAsia="fr-FR"/>
        </w:rPr>
        <w:t>(ou de l’établissement)</w:t>
      </w:r>
      <w:r w:rsidRPr="001B61FF">
        <w:rPr>
          <w:rFonts w:asciiTheme="majorHAnsi" w:hAnsiTheme="majorHAnsi" w:cstheme="majorHAnsi"/>
        </w:rPr>
        <w:t xml:space="preserve">. L’agent souhaitant utiliser des jours épargnés dans son CET sous forme de congés devra le demander selon les règles applicables aux congés annuels dans la collectivité. </w:t>
      </w:r>
    </w:p>
    <w:p w14:paraId="1969E531"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 xml:space="preserve">L’utilisation du compte épargne-temps est autorisée sous réserve des nécessités du service et, sur ce point, un refus motivé pourra être opposé à l’agent. </w:t>
      </w:r>
    </w:p>
    <w:p w14:paraId="0E8A46EB" w14:textId="77777777" w:rsidR="006C707A" w:rsidRPr="001B61FF" w:rsidRDefault="006C707A" w:rsidP="006C707A">
      <w:pPr>
        <w:rPr>
          <w:rFonts w:asciiTheme="majorHAnsi" w:hAnsiTheme="majorHAnsi" w:cstheme="majorHAnsi"/>
          <w:color w:val="000000"/>
          <w:sz w:val="24"/>
          <w:szCs w:val="24"/>
        </w:rPr>
      </w:pPr>
      <w:r w:rsidRPr="001B61FF">
        <w:rPr>
          <w:rFonts w:asciiTheme="majorHAnsi" w:hAnsiTheme="majorHAnsi" w:cstheme="majorHAnsi"/>
          <w:color w:val="000000"/>
          <w:sz w:val="24"/>
          <w:szCs w:val="24"/>
        </w:rPr>
        <w:t>L’agent peut utiliser son CET dès le 1</w:t>
      </w:r>
      <w:r w:rsidRPr="001B61FF">
        <w:rPr>
          <w:rFonts w:asciiTheme="majorHAnsi" w:hAnsiTheme="majorHAnsi" w:cstheme="majorHAnsi"/>
          <w:color w:val="000000"/>
          <w:sz w:val="24"/>
          <w:szCs w:val="24"/>
          <w:vertAlign w:val="superscript"/>
        </w:rPr>
        <w:t>er</w:t>
      </w:r>
      <w:r w:rsidRPr="001B61FF">
        <w:rPr>
          <w:rFonts w:asciiTheme="majorHAnsi" w:hAnsiTheme="majorHAnsi" w:cstheme="majorHAnsi"/>
          <w:color w:val="000000"/>
          <w:sz w:val="24"/>
          <w:szCs w:val="24"/>
        </w:rPr>
        <w:t xml:space="preserve"> jour épargné.</w:t>
      </w:r>
    </w:p>
    <w:p w14:paraId="69CF6F19"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L’agent peut demander et obtenir de droit (les nécessités de service ne pourront être opposés) le bénéfice de ses jours épargnés lors de la cessation définitive des fonctions ou à l’issue d’un congé de maternité, d’adoption ou de paternité et d’accueil de l’enfant, d’un congé de proche aidant ou d’un congé de solidarité familiale.</w:t>
      </w:r>
    </w:p>
    <w:p w14:paraId="55E60818"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La règle selon laquelle un agent ne peut s’absenter du service plus de 31 jours consécutifs ne s’applique pas à l’occasion de l’utilisation du compte épargne-temps.</w:t>
      </w:r>
    </w:p>
    <w:p w14:paraId="74D15DC7"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L’agent peut former un recours contre la décision de refus de l’autorité territoriale, qui statue après consultation de la CAP (si fonctionnaire) ou de la CCP (si contractuel).</w:t>
      </w:r>
    </w:p>
    <w:p w14:paraId="1F078C10" w14:textId="77777777" w:rsidR="006C707A" w:rsidRPr="001B61FF" w:rsidRDefault="006C707A" w:rsidP="006C707A">
      <w:pPr>
        <w:pStyle w:val="Default"/>
        <w:rPr>
          <w:rFonts w:asciiTheme="majorHAnsi" w:hAnsiTheme="majorHAnsi" w:cstheme="majorHAnsi"/>
          <w:b/>
          <w:bCs/>
          <w:i/>
          <w:color w:val="F4951E"/>
          <w:lang w:eastAsia="fr-FR"/>
        </w:rPr>
      </w:pPr>
      <w:r w:rsidRPr="001B61FF">
        <w:rPr>
          <w:rFonts w:asciiTheme="majorHAnsi" w:hAnsiTheme="majorHAnsi" w:cstheme="majorHAnsi"/>
          <w:b/>
          <w:bCs/>
          <w:i/>
          <w:color w:val="F4951E"/>
          <w:lang w:eastAsia="fr-FR"/>
        </w:rPr>
        <w:t xml:space="preserve">Choix à opérer : </w:t>
      </w:r>
    </w:p>
    <w:p w14:paraId="7F950385" w14:textId="77777777" w:rsidR="006C707A" w:rsidRPr="001B61FF" w:rsidRDefault="006C707A" w:rsidP="006C707A">
      <w:pPr>
        <w:pStyle w:val="Default"/>
        <w:rPr>
          <w:rFonts w:asciiTheme="majorHAnsi" w:hAnsiTheme="majorHAnsi" w:cstheme="majorHAnsi"/>
          <w:b/>
          <w:bCs/>
          <w:i/>
          <w:color w:val="00B0F0"/>
          <w:lang w:eastAsia="fr-FR"/>
        </w:rPr>
      </w:pPr>
    </w:p>
    <w:p w14:paraId="47595D34"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 </w:t>
      </w:r>
      <w:r w:rsidRPr="001B61FF">
        <w:rPr>
          <w:rFonts w:asciiTheme="majorHAnsi" w:hAnsiTheme="majorHAnsi" w:cstheme="majorHAnsi"/>
          <w:b/>
          <w:bCs/>
          <w:i/>
          <w:iCs/>
        </w:rPr>
        <w:t xml:space="preserve">DANS LE CAS OÙ LA COLLECTIVITÉ N'INSTAURE PAS LA MONÉTISATION DU CET : </w:t>
      </w:r>
    </w:p>
    <w:p w14:paraId="4A595C92" w14:textId="77777777" w:rsidR="006C707A" w:rsidRPr="001B61FF" w:rsidRDefault="006C707A" w:rsidP="006C707A">
      <w:pPr>
        <w:pStyle w:val="Default"/>
        <w:rPr>
          <w:rFonts w:asciiTheme="majorHAnsi" w:hAnsiTheme="majorHAnsi" w:cstheme="majorHAnsi"/>
        </w:rPr>
      </w:pPr>
    </w:p>
    <w:p w14:paraId="2CAF7A49" w14:textId="77777777" w:rsidR="004470AB" w:rsidRPr="001B61FF" w:rsidRDefault="006C707A" w:rsidP="004470AB">
      <w:pPr>
        <w:pStyle w:val="Default"/>
        <w:jc w:val="both"/>
        <w:rPr>
          <w:rFonts w:asciiTheme="majorHAnsi" w:hAnsiTheme="majorHAnsi" w:cstheme="majorHAnsi"/>
          <w:b/>
          <w:i/>
          <w:iCs/>
        </w:rPr>
      </w:pPr>
      <w:r w:rsidRPr="001B61FF">
        <w:rPr>
          <w:rFonts w:asciiTheme="majorHAnsi" w:hAnsiTheme="majorHAnsi" w:cstheme="majorHAnsi"/>
        </w:rPr>
        <w:t>L’agent peut utiliser tout ou partie de ses jours épargnés dans le CET, qu’il soit titulaire ou contractuels de droit public, uniquement sous la forme de congés</w:t>
      </w:r>
      <w:r w:rsidR="004470AB" w:rsidRPr="001B61FF">
        <w:rPr>
          <w:rFonts w:asciiTheme="majorHAnsi" w:hAnsiTheme="majorHAnsi" w:cstheme="majorHAnsi"/>
        </w:rPr>
        <w:t xml:space="preserve">, </w:t>
      </w:r>
      <w:r w:rsidR="004470AB" w:rsidRPr="001B61FF">
        <w:rPr>
          <w:rFonts w:asciiTheme="majorHAnsi" w:hAnsiTheme="majorHAnsi" w:cstheme="majorHAnsi"/>
          <w:b/>
          <w:i/>
          <w:iCs/>
        </w:rPr>
        <w:t>sous réserve de nécessités de service.</w:t>
      </w:r>
    </w:p>
    <w:p w14:paraId="62F31CA8" w14:textId="77777777" w:rsidR="004470AB" w:rsidRPr="001B61FF" w:rsidRDefault="004470AB" w:rsidP="004470AB">
      <w:pPr>
        <w:pStyle w:val="Default"/>
        <w:rPr>
          <w:rFonts w:asciiTheme="majorHAnsi" w:hAnsiTheme="majorHAnsi" w:cstheme="majorHAnsi"/>
          <w:b/>
          <w:i/>
          <w:iCs/>
        </w:rPr>
      </w:pPr>
    </w:p>
    <w:p w14:paraId="239F4694" w14:textId="287C1FE9" w:rsidR="004470AB" w:rsidRPr="001B61FF" w:rsidRDefault="004470AB" w:rsidP="004470AB">
      <w:pPr>
        <w:pStyle w:val="Default"/>
        <w:rPr>
          <w:rFonts w:asciiTheme="majorHAnsi" w:hAnsiTheme="majorHAnsi" w:cstheme="majorHAnsi"/>
          <w:b/>
          <w:i/>
          <w:iCs/>
        </w:rPr>
      </w:pPr>
      <w:r w:rsidRPr="001B61FF">
        <w:rPr>
          <w:rFonts w:asciiTheme="majorHAnsi" w:hAnsiTheme="majorHAnsi" w:cstheme="majorHAnsi"/>
          <w:b/>
          <w:i/>
          <w:iCs/>
        </w:rPr>
        <w:t>La monétisation du CET n’est pas prévue par la collectivité.</w:t>
      </w:r>
    </w:p>
    <w:p w14:paraId="1C970ABD" w14:textId="389A20F3" w:rsidR="006C707A" w:rsidRPr="001B61FF" w:rsidRDefault="006C707A" w:rsidP="006736A6">
      <w:pPr>
        <w:pStyle w:val="Default"/>
        <w:jc w:val="both"/>
        <w:rPr>
          <w:rFonts w:asciiTheme="majorHAnsi" w:hAnsiTheme="majorHAnsi" w:cstheme="majorHAnsi"/>
        </w:rPr>
      </w:pPr>
      <w:r w:rsidRPr="001B61FF">
        <w:rPr>
          <w:rFonts w:asciiTheme="majorHAnsi" w:hAnsiTheme="majorHAnsi" w:cstheme="majorHAnsi"/>
        </w:rPr>
        <w:t xml:space="preserve"> </w:t>
      </w:r>
    </w:p>
    <w:p w14:paraId="6983B9D1"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 </w:t>
      </w:r>
      <w:r w:rsidRPr="001B61FF">
        <w:rPr>
          <w:rFonts w:asciiTheme="majorHAnsi" w:hAnsiTheme="majorHAnsi" w:cstheme="majorHAnsi"/>
          <w:b/>
          <w:bCs/>
          <w:i/>
          <w:iCs/>
        </w:rPr>
        <w:t xml:space="preserve">DANS LE CAS OÙ LA COLLECTIVITE INSTAURE LA MONÉTISATION DU CET : </w:t>
      </w:r>
    </w:p>
    <w:p w14:paraId="7D7C79DD" w14:textId="77777777" w:rsidR="006C707A" w:rsidRPr="001B61FF" w:rsidRDefault="006C707A" w:rsidP="006C707A">
      <w:pPr>
        <w:pStyle w:val="Default"/>
        <w:rPr>
          <w:rFonts w:asciiTheme="majorHAnsi" w:hAnsiTheme="majorHAnsi" w:cstheme="majorHAnsi"/>
        </w:rPr>
      </w:pPr>
    </w:p>
    <w:p w14:paraId="2B5C058D"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rPr>
        <w:t xml:space="preserve">Les 15 premiers jours épargnés ne seront utilisés que sous forme de congés. </w:t>
      </w:r>
    </w:p>
    <w:p w14:paraId="044DCC37" w14:textId="77777777" w:rsidR="006C707A" w:rsidRPr="001B61FF" w:rsidRDefault="006C707A" w:rsidP="006C707A">
      <w:pPr>
        <w:pStyle w:val="Default"/>
        <w:rPr>
          <w:rFonts w:asciiTheme="majorHAnsi" w:hAnsiTheme="majorHAnsi" w:cstheme="majorHAnsi"/>
        </w:rPr>
      </w:pPr>
    </w:p>
    <w:p w14:paraId="37A0133A"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Au-delà de 15 jours épargnés, l’agent peut utiliser les jours excédentaires en combinant notamment plusieurs options dans les proportions qu’il souhaite parmi les options suivantes : </w:t>
      </w:r>
    </w:p>
    <w:p w14:paraId="130E6939"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leur prise en compte au sein du régime de retraite additionnelle (uniquement pour les agents titulaires affiliés à la CNRACL) ; </w:t>
      </w:r>
    </w:p>
    <w:p w14:paraId="2AE75852" w14:textId="516E4556"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leur indemnisation </w:t>
      </w:r>
      <w:r w:rsidR="004470AB" w:rsidRPr="001B61FF">
        <w:rPr>
          <w:rFonts w:asciiTheme="majorHAnsi" w:hAnsiTheme="majorHAnsi" w:cstheme="majorHAnsi"/>
        </w:rPr>
        <w:t xml:space="preserve">- </w:t>
      </w:r>
      <w:r w:rsidR="004470AB" w:rsidRPr="001B61FF">
        <w:rPr>
          <w:rFonts w:asciiTheme="majorHAnsi" w:hAnsiTheme="majorHAnsi" w:cstheme="majorHAnsi"/>
          <w:b/>
          <w:i/>
          <w:iCs/>
        </w:rPr>
        <w:t xml:space="preserve">cette dernière se fera par le versement d'une indemnité compensatrice selon des taux fixés par arrêté ministériel et variable selon la catégorie hiérarchique à laquelle appartient l'agent </w:t>
      </w:r>
      <w:r w:rsidR="004470AB" w:rsidRPr="001B61FF">
        <w:rPr>
          <w:rFonts w:asciiTheme="majorHAnsi" w:hAnsiTheme="majorHAnsi" w:cstheme="majorHAnsi"/>
          <w:i/>
          <w:color w:val="F4951E"/>
          <w:lang w:eastAsia="fr-FR"/>
        </w:rPr>
        <w:t>– (pour les collectivités qui le souhaitent, il est possible de plafonner le nombre de jours indemnisables ; il convient alors d’ajouter la mention suivante, applicable à l’ensemble des agents de la structure :) dans la limite de ...................................... jours par an (nombre de jours à fixer)</w:t>
      </w:r>
      <w:r w:rsidR="004470AB" w:rsidRPr="001B61FF">
        <w:rPr>
          <w:rFonts w:asciiTheme="majorHAnsi" w:hAnsiTheme="majorHAnsi" w:cstheme="majorHAnsi"/>
          <w:b/>
          <w:i/>
        </w:rPr>
        <w:t xml:space="preserve"> </w:t>
      </w:r>
      <w:r w:rsidRPr="001B61FF">
        <w:rPr>
          <w:rFonts w:asciiTheme="majorHAnsi" w:hAnsiTheme="majorHAnsi" w:cstheme="majorHAnsi"/>
        </w:rPr>
        <w:t xml:space="preserve">; </w:t>
      </w:r>
    </w:p>
    <w:p w14:paraId="08340681"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leur maintien sur le CET ; </w:t>
      </w:r>
    </w:p>
    <w:p w14:paraId="4EEA25A1"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Leur utilisation sous forme de congés. </w:t>
      </w:r>
    </w:p>
    <w:p w14:paraId="07B2761F" w14:textId="77777777" w:rsidR="006C707A" w:rsidRPr="001B61FF" w:rsidRDefault="006C707A" w:rsidP="006C707A">
      <w:pPr>
        <w:pStyle w:val="Default"/>
        <w:rPr>
          <w:rFonts w:asciiTheme="majorHAnsi" w:hAnsiTheme="majorHAnsi" w:cstheme="majorHAnsi"/>
        </w:rPr>
      </w:pPr>
    </w:p>
    <w:p w14:paraId="646A3490" w14:textId="77777777" w:rsidR="006C707A" w:rsidRPr="001B61FF" w:rsidRDefault="006C707A" w:rsidP="006C707A">
      <w:pPr>
        <w:jc w:val="both"/>
        <w:rPr>
          <w:rFonts w:asciiTheme="majorHAnsi" w:hAnsiTheme="majorHAnsi" w:cstheme="majorHAnsi"/>
          <w:sz w:val="24"/>
          <w:szCs w:val="24"/>
        </w:rPr>
      </w:pPr>
      <w:r w:rsidRPr="001B61FF">
        <w:rPr>
          <w:rFonts w:asciiTheme="majorHAnsi" w:hAnsiTheme="majorHAnsi" w:cstheme="majorHAnsi"/>
          <w:sz w:val="24"/>
          <w:szCs w:val="24"/>
        </w:rPr>
        <w:t>En cas d'indemnisation, cette dernière se fera par le versement d'une indemnité compensatrice selon des taux fixés par arrêté ministériel (arrêté du 28 août 2009 modifié) et variable selon la catégorie hiérarchique à laquelle appartient l'agent. Le montant brut journalier de l’indemnité s’établit ainsi au 1</w:t>
      </w:r>
      <w:r w:rsidRPr="001B61FF">
        <w:rPr>
          <w:rFonts w:asciiTheme="majorHAnsi" w:hAnsiTheme="majorHAnsi" w:cstheme="majorHAnsi"/>
          <w:sz w:val="24"/>
          <w:szCs w:val="24"/>
          <w:vertAlign w:val="superscript"/>
        </w:rPr>
        <w:t>er</w:t>
      </w:r>
      <w:r w:rsidRPr="001B61FF">
        <w:rPr>
          <w:rFonts w:asciiTheme="majorHAnsi" w:hAnsiTheme="majorHAnsi" w:cstheme="majorHAnsi"/>
          <w:sz w:val="24"/>
          <w:szCs w:val="24"/>
        </w:rPr>
        <w:t xml:space="preserve"> janvier 2024 </w:t>
      </w:r>
    </w:p>
    <w:p w14:paraId="596F6615" w14:textId="77777777" w:rsidR="006C707A" w:rsidRPr="001B61FF" w:rsidRDefault="006C707A" w:rsidP="006C707A">
      <w:pPr>
        <w:jc w:val="both"/>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2423"/>
      </w:tblGrid>
      <w:tr w:rsidR="006C707A" w:rsidRPr="001B61FF" w14:paraId="6125DF69" w14:textId="77777777" w:rsidTr="004B5874">
        <w:trPr>
          <w:trHeight w:val="304"/>
        </w:trPr>
        <w:tc>
          <w:tcPr>
            <w:tcW w:w="8641" w:type="dxa"/>
            <w:gridSpan w:val="2"/>
          </w:tcPr>
          <w:p w14:paraId="21AC1171" w14:textId="77777777" w:rsidR="006C707A" w:rsidRPr="001B61FF" w:rsidRDefault="006C707A" w:rsidP="004B5874">
            <w:pPr>
              <w:spacing w:after="120"/>
              <w:jc w:val="center"/>
              <w:rPr>
                <w:rFonts w:asciiTheme="majorHAnsi" w:hAnsiTheme="majorHAnsi" w:cstheme="majorHAnsi"/>
                <w:b/>
                <w:sz w:val="24"/>
                <w:szCs w:val="24"/>
              </w:rPr>
            </w:pPr>
            <w:r w:rsidRPr="001B61FF">
              <w:rPr>
                <w:rFonts w:asciiTheme="majorHAnsi" w:hAnsiTheme="majorHAnsi" w:cstheme="majorHAnsi"/>
                <w:b/>
                <w:sz w:val="24"/>
                <w:szCs w:val="24"/>
              </w:rPr>
              <w:t>Montants forfaitaires d’indemnisation du CET</w:t>
            </w:r>
          </w:p>
        </w:tc>
      </w:tr>
      <w:tr w:rsidR="006C707A" w:rsidRPr="001B61FF" w14:paraId="61832C39" w14:textId="77777777" w:rsidTr="004B5874">
        <w:trPr>
          <w:trHeight w:val="394"/>
        </w:trPr>
        <w:tc>
          <w:tcPr>
            <w:tcW w:w="6218" w:type="dxa"/>
          </w:tcPr>
          <w:p w14:paraId="04F8A44D" w14:textId="77777777" w:rsidR="006C707A" w:rsidRPr="001B61FF" w:rsidRDefault="006C707A" w:rsidP="004B5874">
            <w:pPr>
              <w:spacing w:after="240"/>
              <w:jc w:val="both"/>
              <w:rPr>
                <w:rFonts w:asciiTheme="majorHAnsi" w:hAnsiTheme="majorHAnsi" w:cstheme="majorHAnsi"/>
                <w:sz w:val="24"/>
                <w:szCs w:val="24"/>
              </w:rPr>
            </w:pPr>
            <w:r w:rsidRPr="001B61FF">
              <w:rPr>
                <w:rFonts w:asciiTheme="majorHAnsi" w:hAnsiTheme="majorHAnsi" w:cstheme="majorHAnsi"/>
                <w:sz w:val="24"/>
                <w:szCs w:val="24"/>
              </w:rPr>
              <w:t>Pour les agents de catégorie C</w:t>
            </w:r>
          </w:p>
        </w:tc>
        <w:tc>
          <w:tcPr>
            <w:tcW w:w="2422" w:type="dxa"/>
            <w:vAlign w:val="center"/>
          </w:tcPr>
          <w:p w14:paraId="51C3D9B1" w14:textId="77777777" w:rsidR="006C707A" w:rsidRPr="001B61FF" w:rsidRDefault="006C707A" w:rsidP="004B5874">
            <w:pPr>
              <w:spacing w:after="240"/>
              <w:jc w:val="center"/>
              <w:rPr>
                <w:rFonts w:asciiTheme="majorHAnsi" w:hAnsiTheme="majorHAnsi" w:cstheme="majorHAnsi"/>
                <w:sz w:val="24"/>
                <w:szCs w:val="24"/>
              </w:rPr>
            </w:pPr>
            <w:r w:rsidRPr="001B61FF">
              <w:rPr>
                <w:rFonts w:asciiTheme="majorHAnsi" w:hAnsiTheme="majorHAnsi" w:cstheme="majorHAnsi"/>
                <w:sz w:val="24"/>
                <w:szCs w:val="24"/>
              </w:rPr>
              <w:t>83 € bruts / jour</w:t>
            </w:r>
          </w:p>
        </w:tc>
      </w:tr>
      <w:tr w:rsidR="006C707A" w:rsidRPr="001B61FF" w14:paraId="33741D2D" w14:textId="77777777" w:rsidTr="004B5874">
        <w:trPr>
          <w:trHeight w:val="406"/>
        </w:trPr>
        <w:tc>
          <w:tcPr>
            <w:tcW w:w="6218" w:type="dxa"/>
          </w:tcPr>
          <w:p w14:paraId="00446725" w14:textId="77777777" w:rsidR="006C707A" w:rsidRPr="001B61FF" w:rsidRDefault="006C707A" w:rsidP="004B5874">
            <w:pPr>
              <w:spacing w:after="240"/>
              <w:jc w:val="both"/>
              <w:rPr>
                <w:rFonts w:asciiTheme="majorHAnsi" w:hAnsiTheme="majorHAnsi" w:cstheme="majorHAnsi"/>
                <w:sz w:val="24"/>
                <w:szCs w:val="24"/>
              </w:rPr>
            </w:pPr>
            <w:r w:rsidRPr="001B61FF">
              <w:rPr>
                <w:rFonts w:asciiTheme="majorHAnsi" w:hAnsiTheme="majorHAnsi" w:cstheme="majorHAnsi"/>
                <w:sz w:val="24"/>
                <w:szCs w:val="24"/>
              </w:rPr>
              <w:t>Pour les agents de catégorie B</w:t>
            </w:r>
          </w:p>
        </w:tc>
        <w:tc>
          <w:tcPr>
            <w:tcW w:w="2422" w:type="dxa"/>
            <w:vAlign w:val="center"/>
          </w:tcPr>
          <w:p w14:paraId="5B35A126" w14:textId="77777777" w:rsidR="006C707A" w:rsidRPr="001B61FF" w:rsidRDefault="006C707A" w:rsidP="004B5874">
            <w:pPr>
              <w:spacing w:after="240"/>
              <w:jc w:val="center"/>
              <w:rPr>
                <w:rFonts w:asciiTheme="majorHAnsi" w:hAnsiTheme="majorHAnsi" w:cstheme="majorHAnsi"/>
                <w:sz w:val="24"/>
                <w:szCs w:val="24"/>
              </w:rPr>
            </w:pPr>
            <w:r w:rsidRPr="001B61FF">
              <w:rPr>
                <w:rFonts w:asciiTheme="majorHAnsi" w:hAnsiTheme="majorHAnsi" w:cstheme="majorHAnsi"/>
                <w:sz w:val="24"/>
                <w:szCs w:val="24"/>
              </w:rPr>
              <w:t>100 € bruts / jour</w:t>
            </w:r>
          </w:p>
        </w:tc>
      </w:tr>
      <w:tr w:rsidR="006C707A" w:rsidRPr="001B61FF" w14:paraId="16AE9164" w14:textId="77777777" w:rsidTr="004B5874">
        <w:trPr>
          <w:trHeight w:val="383"/>
        </w:trPr>
        <w:tc>
          <w:tcPr>
            <w:tcW w:w="6218" w:type="dxa"/>
          </w:tcPr>
          <w:p w14:paraId="08901E91" w14:textId="77777777" w:rsidR="006C707A" w:rsidRPr="001B61FF" w:rsidRDefault="006C707A" w:rsidP="004B5874">
            <w:pPr>
              <w:spacing w:after="240"/>
              <w:jc w:val="both"/>
              <w:rPr>
                <w:rFonts w:asciiTheme="majorHAnsi" w:hAnsiTheme="majorHAnsi" w:cstheme="majorHAnsi"/>
                <w:sz w:val="24"/>
                <w:szCs w:val="24"/>
              </w:rPr>
            </w:pPr>
            <w:r w:rsidRPr="001B61FF">
              <w:rPr>
                <w:rFonts w:asciiTheme="majorHAnsi" w:hAnsiTheme="majorHAnsi" w:cstheme="majorHAnsi"/>
                <w:sz w:val="24"/>
                <w:szCs w:val="24"/>
              </w:rPr>
              <w:t>Pour les agents de catégorie A</w:t>
            </w:r>
          </w:p>
        </w:tc>
        <w:tc>
          <w:tcPr>
            <w:tcW w:w="2422" w:type="dxa"/>
            <w:vAlign w:val="center"/>
          </w:tcPr>
          <w:p w14:paraId="1BF164A3" w14:textId="77777777" w:rsidR="006C707A" w:rsidRPr="001B61FF" w:rsidRDefault="006C707A" w:rsidP="004B5874">
            <w:pPr>
              <w:spacing w:after="240"/>
              <w:jc w:val="center"/>
              <w:rPr>
                <w:rFonts w:asciiTheme="majorHAnsi" w:hAnsiTheme="majorHAnsi" w:cstheme="majorHAnsi"/>
                <w:sz w:val="24"/>
                <w:szCs w:val="24"/>
              </w:rPr>
            </w:pPr>
            <w:r w:rsidRPr="001B61FF">
              <w:rPr>
                <w:rFonts w:asciiTheme="majorHAnsi" w:hAnsiTheme="majorHAnsi" w:cstheme="majorHAnsi"/>
                <w:sz w:val="24"/>
                <w:szCs w:val="24"/>
              </w:rPr>
              <w:t>150 € bruts / jour</w:t>
            </w:r>
          </w:p>
        </w:tc>
      </w:tr>
    </w:tbl>
    <w:p w14:paraId="420C6A71" w14:textId="77777777" w:rsidR="006C707A" w:rsidRPr="001B61FF" w:rsidRDefault="006C707A" w:rsidP="006C707A">
      <w:pPr>
        <w:jc w:val="both"/>
        <w:rPr>
          <w:rFonts w:asciiTheme="majorHAnsi" w:hAnsiTheme="majorHAnsi" w:cstheme="majorHAnsi"/>
          <w:sz w:val="24"/>
          <w:szCs w:val="24"/>
        </w:rPr>
      </w:pPr>
    </w:p>
    <w:p w14:paraId="715C44F8"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L’agent doit faire part de son choix par écrit au service gestionnaire du CET avant le……………………… </w:t>
      </w:r>
      <w:r w:rsidRPr="001B61FF">
        <w:rPr>
          <w:rFonts w:asciiTheme="majorHAnsi" w:hAnsiTheme="majorHAnsi" w:cstheme="majorHAnsi"/>
          <w:i/>
          <w:iCs/>
          <w:color w:val="F4951E"/>
        </w:rPr>
        <w:t>(</w:t>
      </w:r>
      <w:r w:rsidRPr="001B61FF">
        <w:rPr>
          <w:rFonts w:asciiTheme="majorHAnsi" w:hAnsiTheme="majorHAnsi" w:cstheme="majorHAnsi"/>
          <w:i/>
          <w:iCs/>
          <w:color w:val="F4951E"/>
          <w:highlight w:val="yellow"/>
        </w:rPr>
        <w:t>date à déterminer</w:t>
      </w:r>
      <w:r w:rsidRPr="001B61FF">
        <w:rPr>
          <w:rFonts w:asciiTheme="majorHAnsi" w:hAnsiTheme="majorHAnsi" w:cstheme="majorHAnsi"/>
          <w:b/>
          <w:bCs/>
          <w:i/>
          <w:color w:val="F4951E"/>
          <w:lang w:eastAsia="fr-FR"/>
        </w:rPr>
        <w:t>, au plus tard le 31 janvier de l’année suivante) (</w:t>
      </w:r>
      <w:r w:rsidRPr="001B61FF">
        <w:rPr>
          <w:rFonts w:asciiTheme="majorHAnsi" w:hAnsiTheme="majorHAnsi" w:cstheme="majorHAnsi"/>
          <w:i/>
          <w:color w:val="F4951E"/>
          <w:lang w:eastAsia="fr-FR"/>
        </w:rPr>
        <w:t>le cas échéant</w:t>
      </w:r>
      <w:r w:rsidRPr="001B61FF">
        <w:rPr>
          <w:rFonts w:asciiTheme="majorHAnsi" w:hAnsiTheme="majorHAnsi" w:cstheme="majorHAnsi"/>
          <w:b/>
          <w:bCs/>
          <w:i/>
          <w:color w:val="F4951E"/>
          <w:lang w:eastAsia="fr-FR"/>
        </w:rPr>
        <w:t>)</w:t>
      </w:r>
      <w:r w:rsidRPr="001B61FF">
        <w:rPr>
          <w:rFonts w:asciiTheme="majorHAnsi" w:hAnsiTheme="majorHAnsi" w:cstheme="majorHAnsi"/>
          <w:i/>
          <w:iCs/>
        </w:rPr>
        <w:t xml:space="preserve"> e</w:t>
      </w:r>
      <w:r w:rsidRPr="001B61FF">
        <w:rPr>
          <w:rFonts w:asciiTheme="majorHAnsi" w:hAnsiTheme="majorHAnsi" w:cstheme="majorHAnsi"/>
        </w:rPr>
        <w:t>n remettant le formulaire de demande d'option annexé à la présente délibération</w:t>
      </w:r>
      <w:r w:rsidRPr="001B61FF">
        <w:rPr>
          <w:rFonts w:asciiTheme="majorHAnsi" w:hAnsiTheme="majorHAnsi" w:cstheme="majorHAnsi"/>
          <w:i/>
          <w:iCs/>
        </w:rPr>
        <w:t xml:space="preserve">. </w:t>
      </w:r>
    </w:p>
    <w:p w14:paraId="7BCEC8B7" w14:textId="77777777" w:rsidR="006C707A" w:rsidRPr="001B61FF" w:rsidRDefault="006C707A" w:rsidP="006C707A">
      <w:pPr>
        <w:pStyle w:val="Default"/>
        <w:jc w:val="both"/>
        <w:rPr>
          <w:rFonts w:asciiTheme="majorHAnsi" w:hAnsiTheme="majorHAnsi" w:cstheme="majorHAnsi"/>
        </w:rPr>
      </w:pPr>
    </w:p>
    <w:p w14:paraId="46F7009A"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A défaut de droit d'option exercé au 31 janvier de l'année suivante : </w:t>
      </w:r>
    </w:p>
    <w:p w14:paraId="0CDEF1FC"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pour les agents titulaires affiliés à la CNRACL, les jours excédant 15 jours sont automatiquement pris en compte au sein du RAFP ; </w:t>
      </w:r>
    </w:p>
    <w:p w14:paraId="5FF60273"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pour les autres agents (agents contractuels de droit public et pour les agents affiliés au régime général IRCANTEC), ils sont automatiquement indemnisés.</w:t>
      </w:r>
    </w:p>
    <w:p w14:paraId="7BC8CE90" w14:textId="77777777" w:rsidR="006C707A" w:rsidRPr="001B61FF" w:rsidRDefault="006C707A" w:rsidP="006C707A">
      <w:pPr>
        <w:pStyle w:val="Default"/>
        <w:jc w:val="both"/>
        <w:rPr>
          <w:rFonts w:asciiTheme="majorHAnsi" w:hAnsiTheme="majorHAnsi" w:cstheme="majorHAnsi"/>
        </w:rPr>
      </w:pPr>
    </w:p>
    <w:p w14:paraId="61A973E1" w14:textId="77777777" w:rsidR="006C707A" w:rsidRPr="001B61FF" w:rsidRDefault="006C707A" w:rsidP="006C707A">
      <w:pPr>
        <w:pStyle w:val="Default"/>
        <w:jc w:val="both"/>
        <w:rPr>
          <w:rFonts w:asciiTheme="majorHAnsi" w:hAnsiTheme="majorHAnsi" w:cstheme="majorHAnsi"/>
          <w:i/>
          <w:color w:val="F4951E"/>
          <w:lang w:eastAsia="fr-FR"/>
        </w:rPr>
      </w:pPr>
      <w:r w:rsidRPr="001B61FF">
        <w:rPr>
          <w:rFonts w:asciiTheme="majorHAnsi" w:hAnsiTheme="majorHAnsi" w:cstheme="majorHAnsi"/>
          <w:i/>
          <w:color w:val="F4951E"/>
          <w:lang w:eastAsia="fr-FR"/>
        </w:rPr>
        <w:t>ATTENTION :</w:t>
      </w:r>
    </w:p>
    <w:p w14:paraId="3CCF6B76" w14:textId="77777777" w:rsidR="006C707A" w:rsidRPr="001B61FF" w:rsidRDefault="006C707A" w:rsidP="006C707A">
      <w:pPr>
        <w:pStyle w:val="Default"/>
        <w:jc w:val="both"/>
        <w:rPr>
          <w:rFonts w:asciiTheme="majorHAnsi" w:hAnsiTheme="majorHAnsi" w:cstheme="majorHAnsi"/>
          <w:i/>
          <w:color w:val="F4951E"/>
          <w:lang w:eastAsia="fr-FR"/>
        </w:rPr>
      </w:pPr>
      <w:r w:rsidRPr="001B61FF">
        <w:rPr>
          <w:rFonts w:asciiTheme="majorHAnsi" w:hAnsiTheme="majorHAnsi" w:cstheme="majorHAnsi"/>
          <w:i/>
          <w:color w:val="F4951E"/>
          <w:lang w:eastAsia="fr-FR"/>
        </w:rPr>
        <w:t>Il convient de noter que la délibération prévoyant les règles de fonctionnement du CET ne peut ni privilégier ou exclure une ou plusieurs modalités d’utilisation des jours épargnés, ni limiter le nombre de jours pouvant faire l’objet d’une compensation financière</w:t>
      </w:r>
    </w:p>
    <w:p w14:paraId="7C5A56D8" w14:textId="77777777" w:rsidR="006C707A" w:rsidRPr="001B61FF" w:rsidRDefault="006C707A" w:rsidP="006C707A">
      <w:pPr>
        <w:pStyle w:val="Default"/>
        <w:jc w:val="both"/>
        <w:rPr>
          <w:rFonts w:asciiTheme="majorHAnsi" w:hAnsiTheme="majorHAnsi" w:cstheme="majorHAnsi"/>
          <w:b/>
        </w:rPr>
      </w:pPr>
    </w:p>
    <w:p w14:paraId="30C29986" w14:textId="77777777" w:rsidR="006C707A" w:rsidRPr="001B61FF" w:rsidRDefault="006C707A" w:rsidP="006C707A">
      <w:pPr>
        <w:pStyle w:val="Default"/>
        <w:jc w:val="both"/>
        <w:rPr>
          <w:rFonts w:asciiTheme="majorHAnsi" w:hAnsiTheme="majorHAnsi" w:cstheme="majorHAnsi"/>
          <w:b/>
        </w:rPr>
      </w:pPr>
      <w:r w:rsidRPr="001B61FF">
        <w:rPr>
          <w:rFonts w:asciiTheme="majorHAnsi" w:hAnsiTheme="majorHAnsi" w:cstheme="majorHAnsi"/>
          <w:b/>
        </w:rPr>
        <w:t>Article 7 : Suspension du CET</w:t>
      </w:r>
    </w:p>
    <w:p w14:paraId="75160C61"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 xml:space="preserve">Le fonctionnaire stagiaire ayant acquis antérieurement des droits à congés au titre du compte épargne temps en qualité de fonctionnaire titulaire ou d’agent contractuel ne peut ni les utiliser, ni en accumuler de nouveaux pendant sa période de stage. </w:t>
      </w:r>
    </w:p>
    <w:p w14:paraId="69E5EC55"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Lorsque l’agent bénéficie des congés prévus par le Code Général de la Fonction Publique (congés annuels, congés de maladie ordinaire, congés de longue ou de grave maladie, congés de longue durée etc..), les congés en cours et pris au titre du compte épargne-temps sont suspendus.</w:t>
      </w:r>
    </w:p>
    <w:p w14:paraId="34A865E7" w14:textId="77777777" w:rsidR="006C707A" w:rsidRPr="001B61FF" w:rsidRDefault="006C707A" w:rsidP="006C707A">
      <w:pPr>
        <w:spacing w:before="240" w:after="120" w:line="276" w:lineRule="auto"/>
        <w:ind w:right="-108"/>
        <w:jc w:val="both"/>
        <w:rPr>
          <w:rFonts w:asciiTheme="majorHAnsi" w:hAnsiTheme="majorHAnsi" w:cstheme="majorHAnsi"/>
          <w:b/>
          <w:bCs/>
          <w:sz w:val="24"/>
          <w:szCs w:val="24"/>
        </w:rPr>
      </w:pPr>
      <w:r w:rsidRPr="001B61FF">
        <w:rPr>
          <w:rFonts w:asciiTheme="majorHAnsi" w:hAnsiTheme="majorHAnsi" w:cstheme="majorHAnsi"/>
          <w:b/>
          <w:bCs/>
          <w:sz w:val="24"/>
          <w:szCs w:val="24"/>
        </w:rPr>
        <w:t>Article 8 : Incidences sur la situation de l’agent</w:t>
      </w:r>
    </w:p>
    <w:p w14:paraId="3B5A0D69" w14:textId="77777777" w:rsidR="006C707A" w:rsidRPr="001B61FF" w:rsidRDefault="006C707A" w:rsidP="006C707A">
      <w:pPr>
        <w:spacing w:before="180" w:after="180"/>
        <w:ind w:right="-110"/>
        <w:jc w:val="both"/>
        <w:rPr>
          <w:rFonts w:asciiTheme="majorHAnsi" w:hAnsiTheme="majorHAnsi" w:cstheme="majorHAnsi"/>
          <w:iCs/>
          <w:sz w:val="24"/>
          <w:szCs w:val="24"/>
        </w:rPr>
      </w:pPr>
      <w:r w:rsidRPr="001B61FF">
        <w:rPr>
          <w:rFonts w:asciiTheme="majorHAnsi" w:hAnsiTheme="majorHAnsi" w:cstheme="majorHAnsi"/>
          <w:sz w:val="24"/>
          <w:szCs w:val="24"/>
        </w:rPr>
        <w:t>Pendant l’utilisation de son compte épargne-temps, le fonctionnaire titulaire conserve son droit à bénéficier de l’ensemble des congés auxquels donne droit la position d’activité.</w:t>
      </w:r>
    </w:p>
    <w:p w14:paraId="08C13B5B" w14:textId="0D21BC4C"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Par extension, les agents contractuels peuvent prétendre aux congés similaires prévus par le décret n°88-145 du 15 février 1988 pendant l’utilisation de leur compte épargne</w:t>
      </w:r>
      <w:r w:rsidR="00B27FBA" w:rsidRPr="001B61FF">
        <w:rPr>
          <w:rFonts w:asciiTheme="majorHAnsi" w:hAnsiTheme="majorHAnsi" w:cstheme="majorHAnsi"/>
          <w:sz w:val="24"/>
          <w:szCs w:val="24"/>
        </w:rPr>
        <w:t>-</w:t>
      </w:r>
      <w:r w:rsidRPr="001B61FF">
        <w:rPr>
          <w:rFonts w:asciiTheme="majorHAnsi" w:hAnsiTheme="majorHAnsi" w:cstheme="majorHAnsi"/>
          <w:sz w:val="24"/>
          <w:szCs w:val="24"/>
        </w:rPr>
        <w:t>temps.</w:t>
      </w:r>
    </w:p>
    <w:p w14:paraId="780ECD19" w14:textId="02B3C6F6"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Tous les droits et obligations afférents à la position d’activité et à l’exercice des fonctions sont maintenus. En particulier, l’agent qui utilise son compte épargne</w:t>
      </w:r>
      <w:r w:rsidR="00B27FBA" w:rsidRPr="001B61FF">
        <w:rPr>
          <w:rFonts w:asciiTheme="majorHAnsi" w:hAnsiTheme="majorHAnsi" w:cstheme="majorHAnsi"/>
          <w:sz w:val="24"/>
          <w:szCs w:val="24"/>
        </w:rPr>
        <w:t>-</w:t>
      </w:r>
      <w:r w:rsidRPr="001B61FF">
        <w:rPr>
          <w:rFonts w:asciiTheme="majorHAnsi" w:hAnsiTheme="majorHAnsi" w:cstheme="majorHAnsi"/>
          <w:sz w:val="24"/>
          <w:szCs w:val="24"/>
        </w:rPr>
        <w:t>temps demeure soumis à la réglementation générale sur le cumul d’emplois, d’activités et de rémunérations.</w:t>
      </w:r>
    </w:p>
    <w:p w14:paraId="6ADF3D61"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Pendant ces congés, l’agent conserve le droit à l’avancement (s’il est fonctionnaire), le droit à la retraite, le droit aux congés et à sa rémunération (la nouvelle bonification indiciaire est maintenue ainsi que l’ensemble du régime indemnitaire </w:t>
      </w:r>
      <w:r w:rsidRPr="001B61FF">
        <w:rPr>
          <w:rFonts w:asciiTheme="majorHAnsi" w:hAnsiTheme="majorHAnsi" w:cstheme="majorHAnsi"/>
          <w:bCs/>
          <w:sz w:val="24"/>
          <w:szCs w:val="24"/>
        </w:rPr>
        <w:t>qui n’est pas lié au service fait</w:t>
      </w:r>
      <w:r w:rsidRPr="001B61FF">
        <w:rPr>
          <w:rFonts w:asciiTheme="majorHAnsi" w:hAnsiTheme="majorHAnsi" w:cstheme="majorHAnsi"/>
          <w:sz w:val="24"/>
          <w:szCs w:val="24"/>
        </w:rPr>
        <w:t>. Il conserve également la rémunération qui était la sienne avant l’octroi de ce congé).</w:t>
      </w:r>
    </w:p>
    <w:p w14:paraId="1142917A"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La prise de congés épargnés sur le compte épargne-temps n’a pas pour effet de diminuer le nombre de jours ARTT lors de l’année d’utilisation. </w:t>
      </w:r>
    </w:p>
    <w:p w14:paraId="41D3A3B3" w14:textId="77777777" w:rsidR="006C707A" w:rsidRPr="001B61FF" w:rsidRDefault="006C707A" w:rsidP="006C707A">
      <w:pPr>
        <w:spacing w:before="240" w:after="120" w:line="276" w:lineRule="auto"/>
        <w:jc w:val="both"/>
        <w:rPr>
          <w:rFonts w:asciiTheme="majorHAnsi" w:hAnsiTheme="majorHAnsi" w:cstheme="majorHAnsi"/>
          <w:b/>
          <w:sz w:val="24"/>
          <w:szCs w:val="24"/>
        </w:rPr>
      </w:pPr>
      <w:r w:rsidRPr="001B61FF">
        <w:rPr>
          <w:rFonts w:asciiTheme="majorHAnsi" w:hAnsiTheme="majorHAnsi" w:cstheme="majorHAnsi"/>
          <w:b/>
          <w:sz w:val="24"/>
          <w:szCs w:val="24"/>
        </w:rPr>
        <w:t>Article 9 : Cas spécifique des agents à temps partiel et des agents à temps non complet</w:t>
      </w:r>
    </w:p>
    <w:p w14:paraId="6F3BF493" w14:textId="77777777" w:rsidR="006C707A" w:rsidRPr="001B61FF" w:rsidRDefault="006C707A" w:rsidP="006C707A">
      <w:pPr>
        <w:spacing w:before="180" w:after="180"/>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Par analogie avec le régime des congés annuels, le nombre maximum de jours pouvant être épargnés par an (………… jours) ainsi que la durée minimum de congés annuels (20 jours) sont à proratiser en fonction de la quotité de travail effectuée. </w:t>
      </w:r>
    </w:p>
    <w:p w14:paraId="6A22907A" w14:textId="77777777" w:rsidR="006C707A" w:rsidRPr="001B61FF" w:rsidRDefault="006C707A" w:rsidP="006C707A">
      <w:pPr>
        <w:pStyle w:val="Default"/>
        <w:jc w:val="both"/>
        <w:rPr>
          <w:rFonts w:asciiTheme="majorHAnsi" w:hAnsiTheme="majorHAnsi" w:cstheme="majorHAnsi"/>
          <w:i/>
          <w:iCs/>
        </w:rPr>
      </w:pPr>
    </w:p>
    <w:p w14:paraId="4B0D99DF" w14:textId="77777777" w:rsidR="006C707A" w:rsidRPr="001B61FF" w:rsidRDefault="006C707A" w:rsidP="006C707A">
      <w:pPr>
        <w:pStyle w:val="Default"/>
        <w:jc w:val="both"/>
        <w:rPr>
          <w:rFonts w:asciiTheme="majorHAnsi" w:hAnsiTheme="majorHAnsi" w:cstheme="majorHAnsi"/>
          <w:b/>
          <w:color w:val="auto"/>
          <w:lang w:eastAsia="fr-FR"/>
        </w:rPr>
      </w:pPr>
      <w:bookmarkStart w:id="1" w:name="_Hlk155700089"/>
      <w:r w:rsidRPr="001B61FF">
        <w:rPr>
          <w:rFonts w:asciiTheme="majorHAnsi" w:hAnsiTheme="majorHAnsi" w:cstheme="majorHAnsi"/>
          <w:b/>
        </w:rPr>
        <w:t xml:space="preserve">Article 10 : </w:t>
      </w:r>
      <w:r w:rsidRPr="001B61FF">
        <w:rPr>
          <w:rFonts w:asciiTheme="majorHAnsi" w:hAnsiTheme="majorHAnsi" w:cstheme="majorHAnsi"/>
          <w:b/>
          <w:color w:val="auto"/>
          <w:lang w:eastAsia="fr-FR"/>
        </w:rPr>
        <w:t>Changement d’employeur </w:t>
      </w:r>
    </w:p>
    <w:bookmarkEnd w:id="1"/>
    <w:p w14:paraId="63D4DC06" w14:textId="77777777" w:rsidR="006C707A" w:rsidRPr="001B61FF" w:rsidRDefault="006C707A" w:rsidP="006C707A">
      <w:pPr>
        <w:pStyle w:val="Corpsdetexte"/>
        <w:rPr>
          <w:rFonts w:asciiTheme="majorHAnsi" w:hAnsiTheme="majorHAnsi" w:cstheme="majorHAnsi"/>
          <w:sz w:val="24"/>
          <w:szCs w:val="24"/>
        </w:rPr>
      </w:pPr>
    </w:p>
    <w:p w14:paraId="7809AE1D" w14:textId="77777777" w:rsidR="006C707A" w:rsidRPr="001B61FF" w:rsidRDefault="006C707A" w:rsidP="006C707A">
      <w:pPr>
        <w:pStyle w:val="TEXTE"/>
        <w:numPr>
          <w:ilvl w:val="0"/>
          <w:numId w:val="0"/>
        </w:numPr>
        <w:spacing w:before="0" w:after="0"/>
        <w:rPr>
          <w:rFonts w:asciiTheme="majorHAnsi" w:hAnsiTheme="majorHAnsi" w:cstheme="majorHAnsi"/>
          <w:b/>
          <w:bCs/>
          <w:color w:val="auto"/>
          <w:sz w:val="24"/>
          <w:szCs w:val="24"/>
        </w:rPr>
      </w:pPr>
      <w:r w:rsidRPr="001B61FF">
        <w:rPr>
          <w:rFonts w:asciiTheme="majorHAnsi" w:hAnsiTheme="majorHAnsi" w:cstheme="majorHAnsi"/>
          <w:b/>
          <w:color w:val="auto"/>
          <w:sz w:val="24"/>
          <w:szCs w:val="24"/>
        </w:rPr>
        <w:t>Le fonctionnaire conserve ses droits à congés acquis au titre du CET</w:t>
      </w:r>
      <w:r w:rsidRPr="001B61FF">
        <w:rPr>
          <w:rFonts w:asciiTheme="majorHAnsi" w:hAnsiTheme="majorHAnsi" w:cstheme="majorHAnsi"/>
          <w:color w:val="auto"/>
          <w:sz w:val="24"/>
          <w:szCs w:val="24"/>
        </w:rPr>
        <w:t xml:space="preserve"> </w:t>
      </w:r>
      <w:r w:rsidRPr="001B61FF">
        <w:rPr>
          <w:rFonts w:asciiTheme="majorHAnsi" w:hAnsiTheme="majorHAnsi" w:cstheme="majorHAnsi"/>
          <w:b/>
          <w:bCs/>
          <w:color w:val="auto"/>
          <w:sz w:val="24"/>
          <w:szCs w:val="24"/>
        </w:rPr>
        <w:t>en cas de :</w:t>
      </w:r>
    </w:p>
    <w:p w14:paraId="266989DE" w14:textId="77777777" w:rsidR="006C707A" w:rsidRPr="001B61FF" w:rsidRDefault="006C707A" w:rsidP="006C707A">
      <w:pPr>
        <w:pStyle w:val="TEXTE"/>
        <w:numPr>
          <w:ilvl w:val="0"/>
          <w:numId w:val="0"/>
        </w:numPr>
        <w:spacing w:before="0" w:after="0"/>
        <w:rPr>
          <w:rFonts w:asciiTheme="majorHAnsi" w:hAnsiTheme="majorHAnsi" w:cstheme="majorHAnsi"/>
          <w:color w:val="0000FF"/>
          <w:sz w:val="24"/>
          <w:szCs w:val="24"/>
        </w:rPr>
      </w:pPr>
    </w:p>
    <w:p w14:paraId="39DAE2E4" w14:textId="77777777" w:rsidR="006C707A" w:rsidRPr="001B61FF" w:rsidRDefault="006C707A" w:rsidP="006C707A">
      <w:pPr>
        <w:pStyle w:val="RETRAIT1"/>
        <w:numPr>
          <w:ilvl w:val="0"/>
          <w:numId w:val="0"/>
        </w:numPr>
        <w:spacing w:before="0" w:after="0"/>
        <w:ind w:left="448"/>
        <w:rPr>
          <w:rFonts w:asciiTheme="majorHAnsi" w:hAnsiTheme="majorHAnsi" w:cstheme="majorHAnsi"/>
          <w:color w:val="auto"/>
          <w:sz w:val="24"/>
          <w:szCs w:val="24"/>
        </w:rPr>
      </w:pPr>
      <w:r w:rsidRPr="001B61FF">
        <w:rPr>
          <w:rFonts w:asciiTheme="majorHAnsi" w:hAnsiTheme="majorHAnsi" w:cstheme="majorHAnsi"/>
          <w:color w:val="auto"/>
          <w:sz w:val="24"/>
          <w:szCs w:val="24"/>
        </w:rPr>
        <w:t>-</w:t>
      </w:r>
      <w:r w:rsidRPr="001B61FF">
        <w:rPr>
          <w:rFonts w:asciiTheme="majorHAnsi" w:hAnsiTheme="majorHAnsi" w:cstheme="majorHAnsi"/>
          <w:color w:val="auto"/>
          <w:sz w:val="24"/>
          <w:szCs w:val="24"/>
          <w:u w:val="single"/>
        </w:rPr>
        <w:t>Mutation :</w:t>
      </w:r>
    </w:p>
    <w:p w14:paraId="1D3F051E" w14:textId="77777777" w:rsidR="006C707A" w:rsidRPr="001B61FF" w:rsidRDefault="006C707A" w:rsidP="006C707A">
      <w:pPr>
        <w:spacing w:before="180" w:after="180"/>
        <w:ind w:right="-110"/>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 xml:space="preserve">Lorsque le fonctionnaire change de collectivité ou d’établissement par voie de mutation, d’intégration directe ou de détachement, les droits sont ouverts et la gestion du compte est assurée par la collectivité ou l’établissement d’accueil. </w:t>
      </w:r>
    </w:p>
    <w:p w14:paraId="15B423E5" w14:textId="77777777" w:rsidR="006C707A" w:rsidRPr="001B61FF" w:rsidRDefault="006C707A" w:rsidP="006C707A">
      <w:pPr>
        <w:pStyle w:val="Default"/>
        <w:jc w:val="both"/>
        <w:rPr>
          <w:rFonts w:asciiTheme="majorHAnsi" w:hAnsiTheme="majorHAnsi" w:cstheme="majorHAnsi"/>
          <w:color w:val="F4951E"/>
        </w:rPr>
      </w:pPr>
      <w:r w:rsidRPr="001B61FF">
        <w:rPr>
          <w:rFonts w:asciiTheme="majorHAnsi" w:hAnsiTheme="majorHAnsi" w:cstheme="majorHAnsi"/>
          <w:i/>
          <w:color w:val="F4951E"/>
          <w:lang w:eastAsia="fr-FR"/>
        </w:rPr>
        <w:t>(Le cas échéant si la collectivité le souhaite)</w:t>
      </w:r>
      <w:r w:rsidRPr="001B61FF">
        <w:rPr>
          <w:rFonts w:asciiTheme="majorHAnsi" w:hAnsiTheme="majorHAnsi" w:cstheme="majorHAnsi"/>
          <w:i/>
          <w:iCs/>
          <w:color w:val="F4951E"/>
        </w:rPr>
        <w:t xml:space="preserve"> : </w:t>
      </w:r>
    </w:p>
    <w:p w14:paraId="3AD1D36C"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En cas de mutation, d’intégration directe ou de détachement auprès d'une collectivité territoriale ou d’un établissement public relevant du Code Général de la Fonction Publique, l’autorité territoriale est autorisée à fixer, par convention signée entre 2 employeurs, les modalités financières de transfert des droits accumulés par un agent.</w:t>
      </w:r>
      <w:r w:rsidRPr="001B61FF">
        <w:rPr>
          <w:rFonts w:asciiTheme="majorHAnsi" w:hAnsiTheme="majorHAnsi" w:cstheme="majorHAnsi"/>
          <w:i/>
          <w:iCs/>
        </w:rPr>
        <w:t xml:space="preserve"> </w:t>
      </w:r>
    </w:p>
    <w:p w14:paraId="1EA897CD" w14:textId="4BDB4209"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Le contenu de la convention sera librement déterminé par les deux parties. Avant d'être signée, elle fera l'objet d'une information au ……………</w:t>
      </w:r>
      <w:r w:rsidR="00031817" w:rsidRPr="001B61FF">
        <w:rPr>
          <w:rFonts w:asciiTheme="majorHAnsi" w:hAnsiTheme="majorHAnsi" w:cstheme="majorHAnsi"/>
        </w:rPr>
        <w:t xml:space="preserve"> </w:t>
      </w:r>
      <w:r w:rsidRPr="001B61FF">
        <w:rPr>
          <w:rFonts w:asciiTheme="majorHAnsi" w:hAnsiTheme="majorHAnsi" w:cstheme="majorHAnsi"/>
          <w:i/>
          <w:iCs/>
          <w:color w:val="F4951E"/>
        </w:rPr>
        <w:t xml:space="preserve">(organe délibérant). </w:t>
      </w:r>
    </w:p>
    <w:p w14:paraId="44D4447A" w14:textId="77777777" w:rsidR="006C707A" w:rsidRPr="001B61FF" w:rsidRDefault="006C707A" w:rsidP="006C707A">
      <w:pPr>
        <w:pStyle w:val="RETRAIT1"/>
        <w:numPr>
          <w:ilvl w:val="0"/>
          <w:numId w:val="0"/>
        </w:numPr>
        <w:spacing w:before="0" w:after="0"/>
        <w:rPr>
          <w:rFonts w:asciiTheme="majorHAnsi" w:hAnsiTheme="majorHAnsi" w:cstheme="majorHAnsi"/>
          <w:sz w:val="24"/>
          <w:szCs w:val="24"/>
        </w:rPr>
      </w:pPr>
    </w:p>
    <w:p w14:paraId="1E53CE38" w14:textId="77777777" w:rsidR="006C707A" w:rsidRPr="001B61FF" w:rsidRDefault="006C707A" w:rsidP="006C707A">
      <w:pPr>
        <w:pStyle w:val="textenormal"/>
        <w:spacing w:before="0" w:after="0"/>
        <w:ind w:left="0"/>
        <w:rPr>
          <w:rFonts w:asciiTheme="majorHAnsi" w:hAnsiTheme="majorHAnsi" w:cstheme="majorHAnsi"/>
          <w:i/>
          <w:color w:val="F4951E"/>
          <w:sz w:val="24"/>
          <w:szCs w:val="24"/>
        </w:rPr>
      </w:pPr>
      <w:r w:rsidRPr="001B61FF">
        <w:rPr>
          <w:rFonts w:asciiTheme="majorHAnsi" w:hAnsiTheme="majorHAnsi" w:cstheme="majorHAnsi"/>
          <w:i/>
          <w:color w:val="F4951E"/>
          <w:sz w:val="24"/>
          <w:szCs w:val="24"/>
        </w:rPr>
        <w:t>Cette disposition est destinée à permettre un dédommagement de la collectivité d’accueil qui devra assumer le CET en facilitant la recherche d’un accord avec la collectivité d’origine dans laquelle le CET a été alimenté mais non consommé. Toutefois, les collectivités et établissements concernés ne sont pas tenus de conclure une telle convention. Adoptez une délibération précisant le contenu de la convention et autorisant l’autorité territoriale à la signer si besoin.</w:t>
      </w:r>
    </w:p>
    <w:p w14:paraId="101B0247" w14:textId="77777777" w:rsidR="006C707A" w:rsidRPr="001B61FF" w:rsidRDefault="006C707A" w:rsidP="006C707A">
      <w:pPr>
        <w:pStyle w:val="RETRAIT1"/>
        <w:numPr>
          <w:ilvl w:val="0"/>
          <w:numId w:val="0"/>
        </w:numPr>
        <w:spacing w:before="0" w:after="0"/>
        <w:rPr>
          <w:rFonts w:asciiTheme="majorHAnsi" w:hAnsiTheme="majorHAnsi" w:cstheme="majorHAnsi"/>
          <w:sz w:val="24"/>
          <w:szCs w:val="24"/>
        </w:rPr>
      </w:pPr>
    </w:p>
    <w:p w14:paraId="77331FA7" w14:textId="77777777" w:rsidR="006C707A" w:rsidRPr="001B61FF" w:rsidRDefault="006C707A" w:rsidP="006C707A">
      <w:pPr>
        <w:autoSpaceDE w:val="0"/>
        <w:autoSpaceDN w:val="0"/>
        <w:adjustRightInd w:val="0"/>
        <w:jc w:val="both"/>
        <w:rPr>
          <w:rFonts w:asciiTheme="majorHAnsi" w:hAnsiTheme="majorHAnsi" w:cstheme="majorHAnsi"/>
          <w:sz w:val="24"/>
          <w:szCs w:val="24"/>
        </w:rPr>
      </w:pPr>
      <w:r w:rsidRPr="001B61FF">
        <w:rPr>
          <w:rFonts w:asciiTheme="majorHAnsi" w:hAnsiTheme="majorHAnsi" w:cstheme="majorHAnsi"/>
          <w:sz w:val="24"/>
          <w:szCs w:val="24"/>
        </w:rPr>
        <w:t xml:space="preserve">- En cas de </w:t>
      </w:r>
      <w:r w:rsidRPr="001B61FF">
        <w:rPr>
          <w:rFonts w:asciiTheme="majorHAnsi" w:hAnsiTheme="majorHAnsi" w:cstheme="majorHAnsi"/>
          <w:sz w:val="24"/>
          <w:szCs w:val="24"/>
          <w:u w:val="single"/>
        </w:rPr>
        <w:t>disponibilité ou de congé parental</w:t>
      </w:r>
      <w:r w:rsidRPr="001B61FF">
        <w:rPr>
          <w:rFonts w:asciiTheme="majorHAnsi" w:hAnsiTheme="majorHAnsi" w:cstheme="majorHAnsi"/>
          <w:sz w:val="24"/>
          <w:szCs w:val="24"/>
        </w:rPr>
        <w:t>, l’agent conserve ses droits sans pouvoir les utiliser, sauf autorisation de l’administration d’origine.</w:t>
      </w:r>
    </w:p>
    <w:p w14:paraId="7F523CE7" w14:textId="77777777" w:rsidR="006C707A" w:rsidRPr="001B61FF" w:rsidRDefault="006C707A" w:rsidP="006C707A">
      <w:pPr>
        <w:ind w:right="-110"/>
        <w:jc w:val="both"/>
        <w:rPr>
          <w:rFonts w:asciiTheme="majorHAnsi" w:hAnsiTheme="majorHAnsi" w:cstheme="majorHAnsi"/>
          <w:sz w:val="24"/>
          <w:szCs w:val="24"/>
        </w:rPr>
      </w:pPr>
    </w:p>
    <w:p w14:paraId="10F77836" w14:textId="77777777" w:rsidR="006C707A" w:rsidRPr="001B61FF" w:rsidRDefault="006C707A" w:rsidP="006C707A">
      <w:pPr>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-En cas de </w:t>
      </w:r>
      <w:r w:rsidRPr="001B61FF">
        <w:rPr>
          <w:rFonts w:asciiTheme="majorHAnsi" w:hAnsiTheme="majorHAnsi" w:cstheme="majorHAnsi"/>
          <w:sz w:val="24"/>
          <w:szCs w:val="24"/>
          <w:u w:val="single"/>
        </w:rPr>
        <w:t>mise à disposition auprès d’une organisation syndicale représentative</w:t>
      </w:r>
      <w:r w:rsidRPr="001B61FF">
        <w:rPr>
          <w:rFonts w:asciiTheme="majorHAnsi" w:hAnsiTheme="majorHAnsi" w:cstheme="majorHAnsi"/>
          <w:sz w:val="24"/>
          <w:szCs w:val="24"/>
        </w:rPr>
        <w:t>, la collectivité ou l'établissement d’affectation assure l'ouverture des droits et la gestion du compte.</w:t>
      </w:r>
    </w:p>
    <w:p w14:paraId="00CB60B3" w14:textId="77777777" w:rsidR="006C707A" w:rsidRPr="001B61FF" w:rsidRDefault="006C707A" w:rsidP="006C707A">
      <w:pPr>
        <w:ind w:right="-110"/>
        <w:jc w:val="both"/>
        <w:rPr>
          <w:rFonts w:asciiTheme="majorHAnsi" w:hAnsiTheme="majorHAnsi" w:cstheme="majorHAnsi"/>
          <w:sz w:val="24"/>
          <w:szCs w:val="24"/>
        </w:rPr>
      </w:pPr>
    </w:p>
    <w:p w14:paraId="15496588" w14:textId="77777777" w:rsidR="006C707A" w:rsidRPr="001B61FF" w:rsidRDefault="006C707A" w:rsidP="006C707A">
      <w:pPr>
        <w:ind w:right="-110"/>
        <w:jc w:val="both"/>
        <w:rPr>
          <w:rFonts w:asciiTheme="majorHAnsi" w:hAnsiTheme="majorHAnsi" w:cstheme="majorHAnsi"/>
          <w:sz w:val="24"/>
          <w:szCs w:val="24"/>
        </w:rPr>
      </w:pPr>
      <w:r w:rsidRPr="001B61FF">
        <w:rPr>
          <w:rFonts w:asciiTheme="majorHAnsi" w:hAnsiTheme="majorHAnsi" w:cstheme="majorHAnsi"/>
          <w:sz w:val="24"/>
          <w:szCs w:val="24"/>
        </w:rPr>
        <w:t xml:space="preserve">-Dans le cas de la </w:t>
      </w:r>
      <w:r w:rsidRPr="001B61FF">
        <w:rPr>
          <w:rFonts w:asciiTheme="majorHAnsi" w:hAnsiTheme="majorHAnsi" w:cstheme="majorHAnsi"/>
          <w:sz w:val="24"/>
          <w:szCs w:val="24"/>
          <w:u w:val="single"/>
        </w:rPr>
        <w:t>mise à disposition</w:t>
      </w:r>
      <w:r w:rsidRPr="001B61FF">
        <w:rPr>
          <w:rFonts w:asciiTheme="majorHAnsi" w:hAnsiTheme="majorHAnsi" w:cstheme="majorHAnsi"/>
          <w:sz w:val="24"/>
          <w:szCs w:val="24"/>
        </w:rPr>
        <w:t xml:space="preserve">, l’agent conserve ses droits sans pouvoir les utiliser, sauf autorisation de l’administration d’accueil. </w:t>
      </w:r>
    </w:p>
    <w:p w14:paraId="3BC8D638" w14:textId="77777777" w:rsidR="006C707A" w:rsidRPr="001B61FF" w:rsidRDefault="006C707A" w:rsidP="006C707A">
      <w:pPr>
        <w:autoSpaceDE w:val="0"/>
        <w:autoSpaceDN w:val="0"/>
        <w:adjustRightInd w:val="0"/>
        <w:jc w:val="both"/>
        <w:rPr>
          <w:rFonts w:asciiTheme="majorHAnsi" w:hAnsiTheme="majorHAnsi" w:cstheme="majorHAnsi"/>
          <w:sz w:val="24"/>
          <w:szCs w:val="24"/>
        </w:rPr>
      </w:pPr>
    </w:p>
    <w:p w14:paraId="22CEF015" w14:textId="77777777" w:rsidR="006C707A" w:rsidRPr="001B61FF" w:rsidRDefault="006C707A" w:rsidP="006C707A">
      <w:pPr>
        <w:pStyle w:val="Default"/>
        <w:rPr>
          <w:rFonts w:asciiTheme="majorHAnsi" w:hAnsiTheme="majorHAnsi" w:cstheme="majorHAnsi"/>
          <w:color w:val="auto"/>
        </w:rPr>
      </w:pPr>
      <w:r w:rsidRPr="001B61FF">
        <w:rPr>
          <w:rFonts w:asciiTheme="majorHAnsi" w:hAnsiTheme="majorHAnsi" w:cstheme="majorHAnsi"/>
          <w:color w:val="auto"/>
        </w:rPr>
        <w:t xml:space="preserve">-en cas </w:t>
      </w:r>
      <w:r w:rsidRPr="001B61FF">
        <w:rPr>
          <w:rFonts w:asciiTheme="majorHAnsi" w:hAnsiTheme="majorHAnsi" w:cstheme="majorHAnsi"/>
          <w:color w:val="auto"/>
          <w:u w:val="single"/>
        </w:rPr>
        <w:t>de mobilité entre fonctions publiques</w:t>
      </w:r>
      <w:r w:rsidRPr="001B61FF">
        <w:rPr>
          <w:rFonts w:asciiTheme="majorHAnsi" w:hAnsiTheme="majorHAnsi" w:cstheme="majorHAnsi"/>
          <w:color w:val="auto"/>
        </w:rPr>
        <w:t xml:space="preserve"> (détachement ou intégration directe), les droits acquis peuvent être utilisés selon les conditions en vigueur dans l’administration d’accueil.</w:t>
      </w:r>
    </w:p>
    <w:p w14:paraId="77DD2D97" w14:textId="77777777" w:rsidR="006C707A" w:rsidRPr="001B61FF" w:rsidRDefault="006C707A" w:rsidP="006C707A">
      <w:pPr>
        <w:pStyle w:val="Default"/>
        <w:rPr>
          <w:rFonts w:asciiTheme="majorHAnsi" w:hAnsiTheme="majorHAnsi" w:cstheme="majorHAnsi"/>
          <w:color w:val="auto"/>
        </w:rPr>
      </w:pPr>
    </w:p>
    <w:p w14:paraId="7B2B037F" w14:textId="5F5072B5" w:rsidR="006C707A" w:rsidRPr="001B61FF" w:rsidRDefault="006C707A" w:rsidP="006C707A">
      <w:pPr>
        <w:jc w:val="both"/>
        <w:rPr>
          <w:rFonts w:asciiTheme="majorHAnsi" w:hAnsiTheme="majorHAnsi" w:cstheme="majorHAnsi"/>
          <w:i/>
          <w:iCs/>
          <w:color w:val="F4951E"/>
          <w:sz w:val="24"/>
          <w:szCs w:val="24"/>
        </w:rPr>
      </w:pPr>
      <w:r w:rsidRPr="001B61FF">
        <w:rPr>
          <w:rFonts w:asciiTheme="majorHAnsi" w:hAnsiTheme="majorHAnsi" w:cstheme="majorHAnsi"/>
          <w:color w:val="000000"/>
          <w:sz w:val="24"/>
          <w:szCs w:val="24"/>
        </w:rPr>
        <w:t>Le service gestionnaire du CET informera l’agent chaque année des jours épargnés et des jours utilisés, selon les dispositions de l’article 1 du décret du 26 août 2004, avant le</w:t>
      </w:r>
      <w:r w:rsidRPr="001B61FF">
        <w:rPr>
          <w:rFonts w:asciiTheme="majorHAnsi" w:hAnsiTheme="majorHAnsi" w:cstheme="majorHAnsi"/>
          <w:sz w:val="24"/>
          <w:szCs w:val="24"/>
        </w:rPr>
        <w:t xml:space="preserve"> </w:t>
      </w:r>
      <w:r w:rsidRPr="001B61FF">
        <w:rPr>
          <w:rFonts w:asciiTheme="majorHAnsi" w:hAnsiTheme="majorHAnsi" w:cstheme="majorHAnsi"/>
          <w:i/>
          <w:iCs/>
          <w:sz w:val="24"/>
          <w:szCs w:val="24"/>
        </w:rPr>
        <w:t xml:space="preserve">……………………… </w:t>
      </w:r>
      <w:r w:rsidRPr="001B61FF">
        <w:rPr>
          <w:rFonts w:asciiTheme="majorHAnsi" w:hAnsiTheme="majorHAnsi" w:cstheme="majorHAnsi"/>
          <w:i/>
          <w:iCs/>
          <w:color w:val="F4951E"/>
          <w:sz w:val="24"/>
          <w:szCs w:val="24"/>
        </w:rPr>
        <w:t>(date à déterminer).</w:t>
      </w:r>
    </w:p>
    <w:p w14:paraId="3C3212E7" w14:textId="77777777" w:rsidR="006C707A" w:rsidRPr="001B61FF" w:rsidRDefault="006C707A" w:rsidP="006C707A">
      <w:pPr>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De même, en cas de mobilité de l’agent, le service gestionnaire du C.E.T adressera à l’agent et à l’organisme de d’accueil une attestation des droits à C.E.T à la date de la nouvelle affectation.</w:t>
      </w:r>
    </w:p>
    <w:p w14:paraId="680BF3D1" w14:textId="77777777" w:rsidR="006C707A" w:rsidRPr="001B61FF" w:rsidRDefault="006C707A" w:rsidP="006C707A">
      <w:pPr>
        <w:pStyle w:val="Default"/>
        <w:rPr>
          <w:rFonts w:asciiTheme="majorHAnsi" w:hAnsiTheme="majorHAnsi" w:cstheme="majorHAnsi"/>
          <w:color w:val="auto"/>
        </w:rPr>
      </w:pPr>
    </w:p>
    <w:p w14:paraId="2D959934" w14:textId="77777777" w:rsidR="006C707A" w:rsidRPr="001B61FF" w:rsidRDefault="006C707A" w:rsidP="006C707A">
      <w:pPr>
        <w:pStyle w:val="Default"/>
        <w:rPr>
          <w:rFonts w:asciiTheme="majorHAnsi" w:hAnsiTheme="majorHAnsi" w:cstheme="majorHAnsi"/>
        </w:rPr>
      </w:pPr>
      <w:r w:rsidRPr="001B61FF">
        <w:rPr>
          <w:rFonts w:asciiTheme="majorHAnsi" w:hAnsiTheme="majorHAnsi" w:cstheme="majorHAnsi"/>
          <w:b/>
          <w:bCs/>
        </w:rPr>
        <w:t xml:space="preserve">Le contractuel de droit public doit solder son CET </w:t>
      </w:r>
      <w:r w:rsidRPr="001B61FF">
        <w:rPr>
          <w:rFonts w:asciiTheme="majorHAnsi" w:hAnsiTheme="majorHAnsi" w:cstheme="majorHAnsi"/>
        </w:rPr>
        <w:t xml:space="preserve">avant chaque changement d’employeur. </w:t>
      </w:r>
    </w:p>
    <w:p w14:paraId="5F233887" w14:textId="77777777" w:rsidR="006C707A" w:rsidRPr="001B61FF" w:rsidRDefault="006C707A" w:rsidP="006C707A">
      <w:pPr>
        <w:pStyle w:val="Default"/>
        <w:jc w:val="both"/>
        <w:rPr>
          <w:rFonts w:asciiTheme="majorHAnsi" w:hAnsiTheme="majorHAnsi" w:cstheme="majorHAnsi"/>
          <w:b/>
          <w:bCs/>
          <w:i/>
          <w:iCs/>
        </w:rPr>
      </w:pPr>
    </w:p>
    <w:p w14:paraId="653C8EAC"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b/>
        </w:rPr>
        <w:t xml:space="preserve">Article 11 : </w:t>
      </w:r>
      <w:r w:rsidRPr="001B61FF">
        <w:rPr>
          <w:rFonts w:asciiTheme="majorHAnsi" w:hAnsiTheme="majorHAnsi" w:cstheme="majorHAnsi"/>
          <w:b/>
          <w:color w:val="auto"/>
          <w:lang w:eastAsia="fr-FR"/>
        </w:rPr>
        <w:t>Clôture du CET</w:t>
      </w:r>
      <w:r w:rsidRPr="001B61FF">
        <w:rPr>
          <w:rFonts w:asciiTheme="majorHAnsi" w:hAnsiTheme="majorHAnsi" w:cstheme="majorHAnsi"/>
          <w:b/>
          <w:bCs/>
          <w:i/>
          <w:iCs/>
        </w:rPr>
        <w:t xml:space="preserve"> </w:t>
      </w:r>
    </w:p>
    <w:p w14:paraId="5F3A5172" w14:textId="77777777" w:rsidR="006C707A" w:rsidRPr="001B61FF" w:rsidRDefault="006C707A" w:rsidP="006C707A">
      <w:pPr>
        <w:pStyle w:val="Default"/>
        <w:jc w:val="both"/>
        <w:rPr>
          <w:rFonts w:asciiTheme="majorHAnsi" w:hAnsiTheme="majorHAnsi" w:cstheme="majorHAnsi"/>
        </w:rPr>
      </w:pPr>
    </w:p>
    <w:p w14:paraId="5B537102"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Le CET doit être soldé et clôturé à la date de la radiation des cadres pour le fonctionnaire ou à la date de la radiation des effectifs pour l’agent contractuel de droit public. </w:t>
      </w:r>
    </w:p>
    <w:p w14:paraId="2B233777" w14:textId="77777777" w:rsidR="006C707A" w:rsidRPr="001B61FF" w:rsidRDefault="006C707A" w:rsidP="006C707A">
      <w:pPr>
        <w:pStyle w:val="Default"/>
        <w:jc w:val="both"/>
        <w:rPr>
          <w:rFonts w:asciiTheme="majorHAnsi" w:hAnsiTheme="majorHAnsi" w:cstheme="majorHAnsi"/>
        </w:rPr>
      </w:pPr>
    </w:p>
    <w:p w14:paraId="01138CA0"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Lorsque ces dates sont prévisibles, </w:t>
      </w:r>
      <w:r w:rsidRPr="001B61FF">
        <w:rPr>
          <w:rFonts w:asciiTheme="majorHAnsi" w:hAnsiTheme="majorHAnsi" w:cstheme="majorHAnsi"/>
          <w:i/>
          <w:iCs/>
        </w:rPr>
        <w:t xml:space="preserve">Le </w:t>
      </w:r>
      <w:r w:rsidRPr="001B61FF">
        <w:rPr>
          <w:rFonts w:asciiTheme="majorHAnsi" w:hAnsiTheme="majorHAnsi" w:cstheme="majorHAnsi"/>
          <w:i/>
          <w:iCs/>
          <w:color w:val="F4951E"/>
        </w:rPr>
        <w:t>(</w:t>
      </w:r>
      <w:r w:rsidRPr="001B61FF">
        <w:rPr>
          <w:rFonts w:asciiTheme="majorHAnsi" w:hAnsiTheme="majorHAnsi" w:cstheme="majorHAnsi"/>
          <w:i/>
          <w:color w:val="F4951E"/>
          <w:lang w:eastAsia="fr-FR"/>
        </w:rPr>
        <w:t>Maire ou Président</w:t>
      </w:r>
      <w:r w:rsidRPr="001B61FF">
        <w:rPr>
          <w:rFonts w:asciiTheme="majorHAnsi" w:hAnsiTheme="majorHAnsi" w:cstheme="majorHAnsi"/>
          <w:i/>
          <w:iCs/>
          <w:color w:val="F4951E"/>
        </w:rPr>
        <w:t xml:space="preserve">) </w:t>
      </w:r>
      <w:r w:rsidRPr="001B61FF">
        <w:rPr>
          <w:rFonts w:asciiTheme="majorHAnsi" w:hAnsiTheme="majorHAnsi" w:cstheme="majorHAnsi"/>
          <w:i/>
          <w:iCs/>
        </w:rPr>
        <w:t>………………..</w:t>
      </w:r>
      <w:r w:rsidRPr="001B61FF">
        <w:rPr>
          <w:rFonts w:asciiTheme="majorHAnsi" w:hAnsiTheme="majorHAnsi" w:cstheme="majorHAnsi"/>
        </w:rPr>
        <w:t xml:space="preserve">informera l’agent de la situation de son CET, de la date de clôture de son CET et de son droit à utiliser les congés accumulés à la date de la clôture dans des délais qui lui permettent d’exercer ce droit, </w:t>
      </w:r>
      <w:r w:rsidRPr="001B61FF">
        <w:rPr>
          <w:rFonts w:asciiTheme="majorHAnsi" w:hAnsiTheme="majorHAnsi" w:cstheme="majorHAnsi"/>
          <w:i/>
          <w:color w:val="F4951E"/>
          <w:lang w:eastAsia="fr-FR"/>
        </w:rPr>
        <w:t>(le cas échéant)</w:t>
      </w:r>
      <w:r w:rsidRPr="001B61FF">
        <w:rPr>
          <w:rFonts w:asciiTheme="majorHAnsi" w:hAnsiTheme="majorHAnsi" w:cstheme="majorHAnsi"/>
          <w:i/>
          <w:iCs/>
          <w:color w:val="F4951E"/>
        </w:rPr>
        <w:t xml:space="preserve"> </w:t>
      </w:r>
      <w:r w:rsidRPr="001B61FF">
        <w:rPr>
          <w:rFonts w:asciiTheme="majorHAnsi" w:hAnsiTheme="majorHAnsi" w:cstheme="majorHAnsi"/>
        </w:rPr>
        <w:t xml:space="preserve">à l'aide du formulaire annexé à la présente délibération. </w:t>
      </w:r>
    </w:p>
    <w:p w14:paraId="66069909" w14:textId="77777777" w:rsidR="006C707A" w:rsidRPr="001B61FF" w:rsidRDefault="006C707A" w:rsidP="006C707A">
      <w:pPr>
        <w:pStyle w:val="TEXTE"/>
        <w:numPr>
          <w:ilvl w:val="0"/>
          <w:numId w:val="0"/>
        </w:numPr>
        <w:spacing w:before="0" w:after="0"/>
        <w:rPr>
          <w:rFonts w:asciiTheme="majorHAnsi" w:hAnsiTheme="majorHAnsi" w:cstheme="majorHAnsi"/>
          <w:b/>
          <w:color w:val="auto"/>
          <w:sz w:val="24"/>
          <w:szCs w:val="24"/>
          <w:u w:val="single"/>
        </w:rPr>
      </w:pPr>
    </w:p>
    <w:p w14:paraId="2629CFFB" w14:textId="77777777" w:rsidR="006C707A" w:rsidRPr="001B61FF" w:rsidRDefault="006C707A" w:rsidP="006C707A">
      <w:pPr>
        <w:pStyle w:val="TEXTE"/>
        <w:numPr>
          <w:ilvl w:val="0"/>
          <w:numId w:val="0"/>
        </w:numPr>
        <w:spacing w:before="0" w:after="0"/>
        <w:rPr>
          <w:rFonts w:asciiTheme="majorHAnsi" w:hAnsiTheme="majorHAnsi" w:cstheme="majorHAnsi"/>
          <w:b/>
          <w:color w:val="auto"/>
          <w:sz w:val="24"/>
          <w:szCs w:val="24"/>
          <w:u w:val="single"/>
        </w:rPr>
      </w:pPr>
      <w:r w:rsidRPr="001B61FF">
        <w:rPr>
          <w:rFonts w:asciiTheme="majorHAnsi" w:hAnsiTheme="majorHAnsi" w:cstheme="majorHAnsi"/>
          <w:b/>
          <w:color w:val="auto"/>
          <w:sz w:val="24"/>
          <w:szCs w:val="24"/>
          <w:u w:val="single"/>
        </w:rPr>
        <w:t>Décès de l’agent :</w:t>
      </w:r>
    </w:p>
    <w:p w14:paraId="2D1C89BB" w14:textId="77777777" w:rsidR="006C707A" w:rsidRPr="001B61FF" w:rsidRDefault="006C707A" w:rsidP="006C707A">
      <w:pPr>
        <w:pStyle w:val="TEXTE"/>
        <w:numPr>
          <w:ilvl w:val="0"/>
          <w:numId w:val="0"/>
        </w:numPr>
        <w:spacing w:before="0" w:after="0"/>
        <w:rPr>
          <w:rFonts w:asciiTheme="majorHAnsi" w:hAnsiTheme="majorHAnsi" w:cstheme="majorHAnsi"/>
          <w:b/>
          <w:color w:val="auto"/>
          <w:sz w:val="24"/>
          <w:szCs w:val="24"/>
          <w:u w:val="single"/>
        </w:rPr>
      </w:pPr>
    </w:p>
    <w:p w14:paraId="3ADC9197" w14:textId="77777777" w:rsidR="006C707A" w:rsidRPr="001B61FF" w:rsidRDefault="006C707A" w:rsidP="006C707A">
      <w:pPr>
        <w:pStyle w:val="textenormal"/>
        <w:spacing w:before="0" w:after="0"/>
        <w:ind w:left="0"/>
        <w:rPr>
          <w:rFonts w:asciiTheme="majorHAnsi" w:hAnsiTheme="majorHAnsi" w:cstheme="majorHAnsi"/>
          <w:color w:val="000000"/>
          <w:sz w:val="24"/>
          <w:szCs w:val="24"/>
          <w:lang w:eastAsia="en-US"/>
        </w:rPr>
      </w:pPr>
      <w:r w:rsidRPr="001B61FF">
        <w:rPr>
          <w:rFonts w:asciiTheme="majorHAnsi" w:hAnsiTheme="majorHAnsi" w:cstheme="majorHAnsi"/>
          <w:color w:val="000000"/>
          <w:sz w:val="24"/>
          <w:szCs w:val="24"/>
          <w:lang w:eastAsia="en-US"/>
        </w:rPr>
        <w:t xml:space="preserve">En cas de décès d’un titulaire du CET, les jours épargnés sur le compte donnent lieu à une indemnisation de ses ayants droit. Le nombre de jours accumulés sur le compte épargne-temps est multiplié par le montant forfaitaire correspondant à la catégorie à laquelle appartenait l’agent au moment de son décès. </w:t>
      </w:r>
    </w:p>
    <w:p w14:paraId="3ACA32B6" w14:textId="77777777" w:rsidR="006C707A" w:rsidRPr="001B61FF" w:rsidRDefault="006C707A" w:rsidP="006C707A">
      <w:pPr>
        <w:pStyle w:val="TEXTE"/>
        <w:numPr>
          <w:ilvl w:val="0"/>
          <w:numId w:val="0"/>
        </w:numPr>
        <w:spacing w:before="0" w:after="0"/>
        <w:rPr>
          <w:rFonts w:asciiTheme="majorHAnsi" w:hAnsiTheme="majorHAnsi" w:cstheme="majorHAnsi"/>
          <w:color w:val="000000"/>
          <w:sz w:val="24"/>
          <w:szCs w:val="24"/>
          <w:lang w:eastAsia="en-US"/>
        </w:rPr>
      </w:pPr>
      <w:r w:rsidRPr="001B61FF">
        <w:rPr>
          <w:rFonts w:asciiTheme="majorHAnsi" w:hAnsiTheme="majorHAnsi" w:cstheme="majorHAnsi"/>
          <w:color w:val="000000"/>
          <w:sz w:val="24"/>
          <w:szCs w:val="24"/>
          <w:lang w:eastAsia="en-US"/>
        </w:rPr>
        <w:t>Cette indemnisation est effectuée en un seul versement, quel que soit le nombre de jours en cause.</w:t>
      </w:r>
    </w:p>
    <w:p w14:paraId="7A083652" w14:textId="77777777" w:rsidR="006C707A" w:rsidRPr="001B61FF" w:rsidRDefault="006C707A" w:rsidP="006C707A">
      <w:pPr>
        <w:pStyle w:val="Default"/>
        <w:jc w:val="both"/>
        <w:rPr>
          <w:rFonts w:asciiTheme="majorHAnsi" w:hAnsiTheme="majorHAnsi" w:cstheme="majorHAnsi"/>
        </w:rPr>
      </w:pPr>
    </w:p>
    <w:p w14:paraId="2818EF90" w14:textId="77777777" w:rsidR="006C707A" w:rsidRPr="001B61FF" w:rsidRDefault="006C707A" w:rsidP="006C707A">
      <w:pPr>
        <w:pStyle w:val="Default"/>
        <w:jc w:val="both"/>
        <w:rPr>
          <w:rFonts w:asciiTheme="majorHAnsi" w:hAnsiTheme="majorHAnsi" w:cstheme="majorHAnsi"/>
        </w:rPr>
      </w:pPr>
    </w:p>
    <w:p w14:paraId="5FAB1FE2" w14:textId="4F67F3B5"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Le …………….. </w:t>
      </w:r>
      <w:r w:rsidRPr="001B61FF">
        <w:rPr>
          <w:rFonts w:asciiTheme="majorHAnsi" w:hAnsiTheme="majorHAnsi" w:cstheme="majorHAnsi"/>
          <w:i/>
          <w:iCs/>
          <w:color w:val="F4951E"/>
        </w:rPr>
        <w:t xml:space="preserve">(organe délibérant) </w:t>
      </w:r>
      <w:r w:rsidRPr="001B61FF">
        <w:rPr>
          <w:rFonts w:asciiTheme="majorHAnsi" w:hAnsiTheme="majorHAnsi" w:cstheme="majorHAnsi"/>
        </w:rPr>
        <w:t xml:space="preserve">après avoir entendu le…………….. </w:t>
      </w:r>
      <w:r w:rsidRPr="001B61FF">
        <w:rPr>
          <w:rFonts w:asciiTheme="majorHAnsi" w:hAnsiTheme="majorHAnsi" w:cstheme="majorHAnsi"/>
          <w:i/>
          <w:iCs/>
          <w:color w:val="F4951E"/>
        </w:rPr>
        <w:t xml:space="preserve">(autorité territoriale) </w:t>
      </w:r>
      <w:r w:rsidRPr="001B61FF">
        <w:rPr>
          <w:rFonts w:asciiTheme="majorHAnsi" w:hAnsiTheme="majorHAnsi" w:cstheme="majorHAnsi"/>
        </w:rPr>
        <w:t xml:space="preserve">dans ses explications complémentaires et après en avoir délibéré, après avis du Comité Social Territorial émis dans sa séance du……….., </w:t>
      </w:r>
    </w:p>
    <w:p w14:paraId="42F30043" w14:textId="77777777" w:rsidR="006C707A" w:rsidRPr="001B61FF" w:rsidRDefault="006C707A" w:rsidP="006C707A">
      <w:pPr>
        <w:pStyle w:val="Default"/>
        <w:jc w:val="both"/>
        <w:rPr>
          <w:rFonts w:asciiTheme="majorHAnsi" w:hAnsiTheme="majorHAnsi" w:cstheme="majorHAnsi"/>
          <w:b/>
          <w:bCs/>
        </w:rPr>
      </w:pPr>
    </w:p>
    <w:p w14:paraId="7F5DD809"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b/>
          <w:bCs/>
        </w:rPr>
        <w:t xml:space="preserve">ADOPTE </w:t>
      </w:r>
      <w:r w:rsidRPr="001B61FF">
        <w:rPr>
          <w:rFonts w:asciiTheme="majorHAnsi" w:hAnsiTheme="majorHAnsi" w:cstheme="majorHAnsi"/>
        </w:rPr>
        <w:t xml:space="preserve">- </w:t>
      </w:r>
    </w:p>
    <w:p w14:paraId="4E35DF55"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les propositions du …………….. </w:t>
      </w:r>
      <w:r w:rsidRPr="001B61FF">
        <w:rPr>
          <w:rFonts w:asciiTheme="majorHAnsi" w:hAnsiTheme="majorHAnsi" w:cstheme="majorHAnsi"/>
          <w:i/>
          <w:iCs/>
          <w:color w:val="F4951E"/>
        </w:rPr>
        <w:t>(</w:t>
      </w:r>
      <w:r w:rsidRPr="001B61FF">
        <w:rPr>
          <w:rFonts w:asciiTheme="majorHAnsi" w:hAnsiTheme="majorHAnsi" w:cstheme="majorHAnsi"/>
          <w:i/>
          <w:color w:val="F4951E"/>
          <w:lang w:eastAsia="fr-FR"/>
        </w:rPr>
        <w:t>Maire ou Président</w:t>
      </w:r>
      <w:r w:rsidRPr="001B61FF">
        <w:rPr>
          <w:rFonts w:asciiTheme="majorHAnsi" w:hAnsiTheme="majorHAnsi" w:cstheme="majorHAnsi"/>
          <w:i/>
          <w:iCs/>
          <w:color w:val="F4951E"/>
        </w:rPr>
        <w:t xml:space="preserve">) </w:t>
      </w:r>
      <w:r w:rsidRPr="001B61FF">
        <w:rPr>
          <w:rFonts w:asciiTheme="majorHAnsi" w:hAnsiTheme="majorHAnsi" w:cstheme="majorHAnsi"/>
        </w:rPr>
        <w:t xml:space="preserve">relatives à l'ouverture, le fonctionnement, la gestion, la fermeture du compte épargne-temps (CET), ainsi que les modalités de son utilisation par les agents mentionnés dans la présente délibération, </w:t>
      </w:r>
    </w:p>
    <w:p w14:paraId="03C5A8B5" w14:textId="77777777" w:rsidR="006C707A" w:rsidRPr="001B61FF" w:rsidRDefault="006C707A" w:rsidP="006C707A">
      <w:pPr>
        <w:pStyle w:val="Default"/>
        <w:jc w:val="both"/>
        <w:rPr>
          <w:rFonts w:asciiTheme="majorHAnsi" w:hAnsiTheme="majorHAnsi" w:cstheme="majorHAnsi"/>
        </w:rPr>
      </w:pPr>
    </w:p>
    <w:p w14:paraId="50E5DFA6" w14:textId="77777777"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rPr>
        <w:t xml:space="preserve">- </w:t>
      </w:r>
      <w:r w:rsidRPr="001B61FF">
        <w:rPr>
          <w:rFonts w:asciiTheme="majorHAnsi" w:hAnsiTheme="majorHAnsi" w:cstheme="majorHAnsi"/>
          <w:i/>
          <w:color w:val="F4951E"/>
          <w:lang w:eastAsia="fr-FR"/>
        </w:rPr>
        <w:t>les différents formulaires annexés</w:t>
      </w:r>
      <w:r w:rsidRPr="001B61FF">
        <w:rPr>
          <w:rFonts w:asciiTheme="majorHAnsi" w:hAnsiTheme="majorHAnsi" w:cstheme="majorHAnsi"/>
          <w:color w:val="F4951E"/>
        </w:rPr>
        <w:t xml:space="preserve">, </w:t>
      </w:r>
    </w:p>
    <w:p w14:paraId="1DC1D07A" w14:textId="77777777" w:rsidR="006C707A" w:rsidRPr="001B61FF" w:rsidRDefault="006C707A" w:rsidP="006C707A">
      <w:pPr>
        <w:pStyle w:val="Default"/>
        <w:jc w:val="both"/>
        <w:rPr>
          <w:rFonts w:asciiTheme="majorHAnsi" w:hAnsiTheme="majorHAnsi" w:cstheme="majorHAnsi"/>
          <w:b/>
          <w:bCs/>
        </w:rPr>
      </w:pPr>
      <w:r w:rsidRPr="001B61FF">
        <w:rPr>
          <w:rFonts w:asciiTheme="majorHAnsi" w:hAnsiTheme="majorHAnsi" w:cstheme="majorHAnsi"/>
          <w:b/>
          <w:bCs/>
        </w:rPr>
        <w:t xml:space="preserve"> </w:t>
      </w:r>
    </w:p>
    <w:p w14:paraId="2F67A4C0" w14:textId="77777777" w:rsidR="006C707A" w:rsidRPr="001B61FF" w:rsidRDefault="006C707A" w:rsidP="006C707A">
      <w:pPr>
        <w:pStyle w:val="Default"/>
        <w:jc w:val="both"/>
        <w:rPr>
          <w:rFonts w:asciiTheme="majorHAnsi" w:hAnsiTheme="majorHAnsi" w:cstheme="majorHAnsi"/>
          <w:b/>
          <w:bCs/>
        </w:rPr>
      </w:pPr>
    </w:p>
    <w:p w14:paraId="362817B7" w14:textId="77777777" w:rsidR="006C707A" w:rsidRPr="001B61FF" w:rsidRDefault="006C707A" w:rsidP="006C707A">
      <w:pPr>
        <w:pStyle w:val="Default"/>
        <w:jc w:val="both"/>
        <w:rPr>
          <w:rFonts w:asciiTheme="majorHAnsi" w:hAnsiTheme="majorHAnsi" w:cstheme="majorHAnsi"/>
          <w:b/>
          <w:bCs/>
        </w:rPr>
      </w:pPr>
      <w:r w:rsidRPr="001B61FF">
        <w:rPr>
          <w:rFonts w:asciiTheme="majorHAnsi" w:hAnsiTheme="majorHAnsi" w:cstheme="majorHAnsi"/>
          <w:b/>
          <w:bCs/>
        </w:rPr>
        <w:t>DECIDE</w:t>
      </w:r>
    </w:p>
    <w:p w14:paraId="3B22A9A3" w14:textId="77777777" w:rsidR="006C707A" w:rsidRPr="001B61FF" w:rsidRDefault="006C707A" w:rsidP="006C707A">
      <w:pPr>
        <w:jc w:val="both"/>
        <w:rPr>
          <w:rFonts w:asciiTheme="majorHAnsi" w:hAnsiTheme="majorHAnsi" w:cstheme="majorHAnsi"/>
          <w:color w:val="000000"/>
          <w:sz w:val="24"/>
          <w:szCs w:val="24"/>
        </w:rPr>
      </w:pPr>
      <w:r w:rsidRPr="001B61FF">
        <w:rPr>
          <w:rFonts w:asciiTheme="majorHAnsi" w:hAnsiTheme="majorHAnsi" w:cstheme="majorHAnsi"/>
          <w:color w:val="000000"/>
          <w:sz w:val="24"/>
          <w:szCs w:val="24"/>
        </w:rPr>
        <w:t>-Que, sauf disposition expresse de l’assemblée délibérante prise sur un nouvel avis du Comité Social Territorial compétent, ces dispositions seront reconduites tacitement chaque année ;</w:t>
      </w:r>
    </w:p>
    <w:p w14:paraId="3BD2AA1B" w14:textId="77777777" w:rsidR="006C707A" w:rsidRPr="001B61FF" w:rsidRDefault="006C707A" w:rsidP="006C707A">
      <w:pPr>
        <w:jc w:val="both"/>
        <w:rPr>
          <w:rFonts w:asciiTheme="majorHAnsi" w:hAnsiTheme="majorHAnsi" w:cstheme="majorHAnsi"/>
          <w:color w:val="000000"/>
          <w:sz w:val="24"/>
          <w:szCs w:val="24"/>
        </w:rPr>
      </w:pPr>
      <w:r w:rsidRPr="001B61FF">
        <w:rPr>
          <w:rFonts w:asciiTheme="majorHAnsi" w:hAnsiTheme="majorHAnsi" w:cstheme="majorHAnsi"/>
          <w:kern w:val="20"/>
          <w:sz w:val="24"/>
          <w:szCs w:val="24"/>
        </w:rPr>
        <w:t xml:space="preserve">- </w:t>
      </w:r>
      <w:r w:rsidRPr="001B61FF">
        <w:rPr>
          <w:rFonts w:asciiTheme="majorHAnsi" w:hAnsiTheme="majorHAnsi" w:cstheme="majorHAnsi"/>
          <w:color w:val="000000"/>
          <w:sz w:val="24"/>
          <w:szCs w:val="24"/>
        </w:rPr>
        <w:t>d’inscrire au budget des crédits correspondants ;</w:t>
      </w:r>
    </w:p>
    <w:p w14:paraId="1BD4AA1F" w14:textId="77777777" w:rsidR="006C707A" w:rsidRPr="001B61FF" w:rsidRDefault="006C707A" w:rsidP="006C707A">
      <w:pPr>
        <w:pStyle w:val="Default"/>
        <w:jc w:val="both"/>
        <w:rPr>
          <w:rFonts w:asciiTheme="majorHAnsi" w:hAnsiTheme="majorHAnsi" w:cstheme="majorHAnsi"/>
          <w:b/>
          <w:bCs/>
        </w:rPr>
      </w:pPr>
    </w:p>
    <w:p w14:paraId="488F38B5" w14:textId="2EFCE6BE" w:rsidR="006C707A" w:rsidRPr="001B61FF" w:rsidRDefault="006C707A" w:rsidP="006C707A">
      <w:pPr>
        <w:pStyle w:val="Default"/>
        <w:jc w:val="both"/>
        <w:rPr>
          <w:rFonts w:asciiTheme="majorHAnsi" w:hAnsiTheme="majorHAnsi" w:cstheme="majorHAnsi"/>
        </w:rPr>
      </w:pPr>
      <w:r w:rsidRPr="001B61FF">
        <w:rPr>
          <w:rFonts w:asciiTheme="majorHAnsi" w:hAnsiTheme="majorHAnsi" w:cstheme="majorHAnsi"/>
          <w:b/>
          <w:bCs/>
        </w:rPr>
        <w:t xml:space="preserve">AUTORISE </w:t>
      </w:r>
      <w:r w:rsidRPr="001B61FF">
        <w:rPr>
          <w:rFonts w:asciiTheme="majorHAnsi" w:hAnsiTheme="majorHAnsi" w:cstheme="majorHAnsi"/>
        </w:rPr>
        <w:t>sous réserve d'une information préalable du</w:t>
      </w:r>
      <w:r w:rsidRPr="001B61FF">
        <w:rPr>
          <w:rFonts w:asciiTheme="majorHAnsi" w:hAnsiTheme="majorHAnsi" w:cstheme="majorHAnsi"/>
          <w:i/>
          <w:iCs/>
        </w:rPr>
        <w:t xml:space="preserve">…………….. </w:t>
      </w:r>
      <w:r w:rsidRPr="001B61FF">
        <w:rPr>
          <w:rFonts w:asciiTheme="majorHAnsi" w:hAnsiTheme="majorHAnsi" w:cstheme="majorHAnsi"/>
          <w:i/>
          <w:iCs/>
          <w:color w:val="F4951E"/>
        </w:rPr>
        <w:t>(organe délibérant)</w:t>
      </w:r>
      <w:r w:rsidRPr="001B61FF">
        <w:rPr>
          <w:rFonts w:asciiTheme="majorHAnsi" w:hAnsiTheme="majorHAnsi" w:cstheme="majorHAnsi"/>
          <w:b/>
          <w:bCs/>
          <w:i/>
          <w:iCs/>
          <w:color w:val="F4951E"/>
        </w:rPr>
        <w:t xml:space="preserve">, </w:t>
      </w:r>
      <w:r w:rsidRPr="001B61FF">
        <w:rPr>
          <w:rFonts w:asciiTheme="majorHAnsi" w:hAnsiTheme="majorHAnsi" w:cstheme="majorHAnsi"/>
          <w:i/>
          <w:iCs/>
        </w:rPr>
        <w:t xml:space="preserve">Le </w:t>
      </w:r>
      <w:r w:rsidRPr="001B61FF">
        <w:rPr>
          <w:rFonts w:asciiTheme="majorHAnsi" w:hAnsiTheme="majorHAnsi" w:cstheme="majorHAnsi"/>
          <w:i/>
          <w:iCs/>
          <w:color w:val="F4951E"/>
        </w:rPr>
        <w:t>(</w:t>
      </w:r>
      <w:r w:rsidRPr="001B61FF">
        <w:rPr>
          <w:rFonts w:asciiTheme="majorHAnsi" w:hAnsiTheme="majorHAnsi" w:cstheme="majorHAnsi"/>
          <w:i/>
          <w:color w:val="F4951E"/>
          <w:lang w:eastAsia="fr-FR"/>
        </w:rPr>
        <w:t>Maire ou Président</w:t>
      </w:r>
      <w:r w:rsidRPr="001B61FF">
        <w:rPr>
          <w:rFonts w:asciiTheme="majorHAnsi" w:hAnsiTheme="majorHAnsi" w:cstheme="majorHAnsi"/>
          <w:i/>
          <w:iCs/>
          <w:color w:val="F4951E"/>
        </w:rPr>
        <w:t>)</w:t>
      </w:r>
      <w:r w:rsidRPr="001B61FF">
        <w:rPr>
          <w:rFonts w:asciiTheme="majorHAnsi" w:hAnsiTheme="majorHAnsi" w:cstheme="majorHAnsi"/>
          <w:i/>
          <w:iCs/>
        </w:rPr>
        <w:t xml:space="preserve"> ………………..à signer </w:t>
      </w:r>
      <w:r w:rsidRPr="001B61FF">
        <w:rPr>
          <w:rFonts w:asciiTheme="majorHAnsi" w:hAnsiTheme="majorHAnsi" w:cstheme="majorHAnsi"/>
        </w:rPr>
        <w:t xml:space="preserve">toutes conventions de transfert du CET figurant en annexe, sous réserve des modifications apportées par les parties adhérentes à cette convention. </w:t>
      </w:r>
    </w:p>
    <w:p w14:paraId="397F629A" w14:textId="77777777" w:rsidR="006C707A" w:rsidRPr="001B61FF" w:rsidRDefault="006C707A" w:rsidP="006C707A">
      <w:pPr>
        <w:jc w:val="both"/>
        <w:rPr>
          <w:rFonts w:asciiTheme="majorHAnsi" w:hAnsiTheme="majorHAnsi" w:cstheme="majorHAnsi"/>
          <w:b/>
          <w:bCs/>
          <w:sz w:val="24"/>
          <w:szCs w:val="24"/>
        </w:rPr>
      </w:pPr>
    </w:p>
    <w:p w14:paraId="66F68888" w14:textId="77777777" w:rsidR="006C707A" w:rsidRPr="001B61FF" w:rsidRDefault="006C707A" w:rsidP="006C707A">
      <w:pPr>
        <w:jc w:val="both"/>
        <w:rPr>
          <w:rFonts w:asciiTheme="majorHAnsi" w:hAnsiTheme="majorHAnsi" w:cstheme="majorHAnsi"/>
          <w:i/>
          <w:iCs/>
          <w:color w:val="F4951E"/>
          <w:sz w:val="24"/>
          <w:szCs w:val="24"/>
        </w:rPr>
      </w:pPr>
      <w:r w:rsidRPr="001B61FF">
        <w:rPr>
          <w:rFonts w:asciiTheme="majorHAnsi" w:hAnsiTheme="majorHAnsi" w:cstheme="majorHAnsi"/>
          <w:b/>
          <w:bCs/>
          <w:sz w:val="24"/>
          <w:szCs w:val="24"/>
        </w:rPr>
        <w:t xml:space="preserve">PRECISE </w:t>
      </w:r>
      <w:r w:rsidRPr="001B61FF">
        <w:rPr>
          <w:rFonts w:asciiTheme="majorHAnsi" w:hAnsiTheme="majorHAnsi" w:cstheme="majorHAnsi"/>
          <w:sz w:val="24"/>
          <w:szCs w:val="24"/>
        </w:rPr>
        <w:t xml:space="preserve">- que les dispositions de la présente délibération prendront effet au ………. </w:t>
      </w:r>
      <w:r w:rsidRPr="001B61FF">
        <w:rPr>
          <w:rFonts w:asciiTheme="majorHAnsi" w:hAnsiTheme="majorHAnsi" w:cstheme="majorHAnsi"/>
          <w:i/>
          <w:iCs/>
          <w:color w:val="F4951E"/>
          <w:sz w:val="24"/>
          <w:szCs w:val="24"/>
        </w:rPr>
        <w:t xml:space="preserve">(au plus tôt la date de transmission au contrôle de légalité </w:t>
      </w:r>
      <w:r w:rsidRPr="001B61FF">
        <w:rPr>
          <w:rFonts w:asciiTheme="majorHAnsi" w:eastAsia="Calibri" w:hAnsiTheme="majorHAnsi" w:cstheme="majorHAnsi"/>
          <w:i/>
          <w:iCs/>
          <w:color w:val="F4951E"/>
          <w:sz w:val="24"/>
          <w:szCs w:val="24"/>
        </w:rPr>
        <w:t>au regard du principe de non-rétroactivité d'un acte règlementaire et de son caractère exécutoire dès lors qu'il a été procédé à la transmission de cet acte au représentant de l'Etat dans le département, une application rétroactive étant illégale</w:t>
      </w:r>
      <w:r w:rsidRPr="001B61FF">
        <w:rPr>
          <w:rFonts w:asciiTheme="majorHAnsi" w:hAnsiTheme="majorHAnsi" w:cstheme="majorHAnsi"/>
          <w:i/>
          <w:iCs/>
          <w:color w:val="F4951E"/>
          <w:sz w:val="24"/>
          <w:szCs w:val="24"/>
        </w:rPr>
        <w:t>)</w:t>
      </w:r>
    </w:p>
    <w:p w14:paraId="1AE0BA67" w14:textId="77777777" w:rsidR="006C707A" w:rsidRPr="001B61FF" w:rsidRDefault="006C707A" w:rsidP="006C707A">
      <w:pPr>
        <w:jc w:val="both"/>
        <w:rPr>
          <w:rFonts w:asciiTheme="majorHAnsi" w:hAnsiTheme="majorHAnsi" w:cstheme="majorHAnsi"/>
          <w:i/>
          <w:iCs/>
          <w:sz w:val="24"/>
          <w:szCs w:val="24"/>
        </w:rPr>
      </w:pPr>
    </w:p>
    <w:p w14:paraId="6D48F4AB" w14:textId="77777777" w:rsidR="00031817" w:rsidRPr="001B61FF" w:rsidRDefault="006C707A" w:rsidP="006C707A">
      <w:pPr>
        <w:pStyle w:val="VuConsidrant"/>
        <w:spacing w:after="0"/>
        <w:ind w:left="1418" w:hanging="1418"/>
        <w:rPr>
          <w:rFonts w:asciiTheme="majorHAnsi" w:hAnsiTheme="majorHAnsi" w:cstheme="majorHAnsi"/>
          <w:sz w:val="24"/>
          <w:szCs w:val="24"/>
        </w:rPr>
      </w:pPr>
      <w:r w:rsidRPr="001B61FF">
        <w:rPr>
          <w:rFonts w:asciiTheme="majorHAnsi" w:hAnsiTheme="majorHAnsi" w:cstheme="majorHAnsi"/>
          <w:b/>
          <w:bCs/>
          <w:sz w:val="24"/>
          <w:szCs w:val="24"/>
        </w:rPr>
        <w:t xml:space="preserve">ADOPTÉ </w:t>
      </w:r>
      <w:r w:rsidRPr="001B61FF">
        <w:rPr>
          <w:rFonts w:asciiTheme="majorHAnsi" w:hAnsiTheme="majorHAnsi" w:cstheme="majorHAnsi"/>
          <w:sz w:val="24"/>
          <w:szCs w:val="24"/>
        </w:rPr>
        <w:t xml:space="preserve">: </w:t>
      </w:r>
      <w:r w:rsidRPr="001B61FF">
        <w:rPr>
          <w:rFonts w:asciiTheme="majorHAnsi" w:hAnsiTheme="majorHAnsi" w:cstheme="majorHAnsi"/>
          <w:sz w:val="24"/>
          <w:szCs w:val="24"/>
        </w:rPr>
        <w:tab/>
        <w:t>à l’unanimité des membres présents</w:t>
      </w:r>
    </w:p>
    <w:p w14:paraId="6A839384" w14:textId="77777777" w:rsidR="00031817" w:rsidRPr="001B61FF" w:rsidRDefault="00031817" w:rsidP="006C707A">
      <w:pPr>
        <w:pStyle w:val="VuConsidrant"/>
        <w:spacing w:after="0"/>
        <w:ind w:left="1418" w:hanging="1418"/>
        <w:rPr>
          <w:rFonts w:asciiTheme="majorHAnsi" w:hAnsiTheme="majorHAnsi" w:cstheme="majorHAnsi"/>
          <w:sz w:val="24"/>
          <w:szCs w:val="24"/>
        </w:rPr>
      </w:pPr>
    </w:p>
    <w:p w14:paraId="6AB90C8D" w14:textId="5199ED2C" w:rsidR="006C707A" w:rsidRPr="001B61FF" w:rsidRDefault="00031817" w:rsidP="00031817">
      <w:pPr>
        <w:pStyle w:val="VuConsidrant"/>
        <w:spacing w:after="0"/>
        <w:ind w:left="1418" w:hanging="1"/>
        <w:rPr>
          <w:rFonts w:asciiTheme="majorHAnsi" w:hAnsiTheme="majorHAnsi" w:cstheme="majorHAnsi"/>
          <w:color w:val="F4951E"/>
          <w:sz w:val="24"/>
          <w:szCs w:val="24"/>
        </w:rPr>
      </w:pPr>
      <w:r w:rsidRPr="001B61FF">
        <w:rPr>
          <w:rFonts w:asciiTheme="majorHAnsi" w:hAnsiTheme="majorHAnsi" w:cstheme="majorHAnsi"/>
          <w:color w:val="F4951E"/>
          <w:sz w:val="24"/>
          <w:szCs w:val="24"/>
        </w:rPr>
        <w:t>OU</w:t>
      </w:r>
    </w:p>
    <w:p w14:paraId="5F409684" w14:textId="77777777" w:rsidR="00031817" w:rsidRPr="001B61FF" w:rsidRDefault="00031817" w:rsidP="00031817">
      <w:pPr>
        <w:pStyle w:val="VuConsidrant"/>
        <w:spacing w:after="0"/>
        <w:ind w:left="1418" w:hanging="1"/>
        <w:rPr>
          <w:rFonts w:asciiTheme="majorHAnsi" w:hAnsiTheme="majorHAnsi" w:cstheme="majorHAnsi"/>
          <w:sz w:val="24"/>
          <w:szCs w:val="24"/>
        </w:rPr>
      </w:pPr>
    </w:p>
    <w:p w14:paraId="5823727C" w14:textId="77777777" w:rsidR="006C707A" w:rsidRPr="001B61FF" w:rsidRDefault="006C707A" w:rsidP="006C707A">
      <w:pPr>
        <w:pStyle w:val="TiretVuConsidrant"/>
        <w:spacing w:after="0"/>
        <w:ind w:left="992" w:firstLine="425"/>
        <w:rPr>
          <w:rFonts w:asciiTheme="majorHAnsi" w:hAnsiTheme="majorHAnsi" w:cstheme="majorHAnsi"/>
          <w:sz w:val="24"/>
          <w:szCs w:val="24"/>
        </w:rPr>
      </w:pPr>
      <w:r w:rsidRPr="001B61FF">
        <w:rPr>
          <w:rFonts w:asciiTheme="majorHAnsi" w:hAnsiTheme="majorHAnsi" w:cstheme="majorHAnsi"/>
          <w:sz w:val="24"/>
          <w:szCs w:val="24"/>
        </w:rPr>
        <w:t>à .................. voix pour</w:t>
      </w:r>
    </w:p>
    <w:p w14:paraId="62EBE326" w14:textId="77777777" w:rsidR="006C707A" w:rsidRPr="001B61FF" w:rsidRDefault="006C707A" w:rsidP="006C707A">
      <w:pPr>
        <w:pStyle w:val="TiretVuConsidrant"/>
        <w:spacing w:after="0"/>
        <w:ind w:left="992" w:firstLine="425"/>
        <w:rPr>
          <w:rFonts w:asciiTheme="majorHAnsi" w:hAnsiTheme="majorHAnsi" w:cstheme="majorHAnsi"/>
          <w:sz w:val="24"/>
          <w:szCs w:val="24"/>
        </w:rPr>
      </w:pPr>
      <w:r w:rsidRPr="001B61FF">
        <w:rPr>
          <w:rFonts w:asciiTheme="majorHAnsi" w:hAnsiTheme="majorHAnsi" w:cstheme="majorHAnsi"/>
          <w:sz w:val="24"/>
          <w:szCs w:val="24"/>
        </w:rPr>
        <w:t>à .................. voix contre</w:t>
      </w:r>
    </w:p>
    <w:p w14:paraId="0E761C6C" w14:textId="77777777" w:rsidR="006C707A" w:rsidRPr="001B61FF" w:rsidRDefault="006C707A" w:rsidP="006C707A">
      <w:pPr>
        <w:pStyle w:val="TiretVuConsidrant"/>
        <w:spacing w:after="0"/>
        <w:ind w:left="992" w:firstLine="425"/>
        <w:rPr>
          <w:rFonts w:asciiTheme="majorHAnsi" w:hAnsiTheme="majorHAnsi" w:cstheme="majorHAnsi"/>
          <w:i/>
          <w:iCs/>
          <w:sz w:val="24"/>
          <w:szCs w:val="24"/>
        </w:rPr>
      </w:pPr>
      <w:r w:rsidRPr="001B61FF">
        <w:rPr>
          <w:rFonts w:asciiTheme="majorHAnsi" w:hAnsiTheme="majorHAnsi" w:cstheme="majorHAnsi"/>
          <w:sz w:val="24"/>
          <w:szCs w:val="24"/>
        </w:rPr>
        <w:t>à .................. abstention</w:t>
      </w:r>
      <w:r w:rsidRPr="001B61FF">
        <w:rPr>
          <w:rFonts w:asciiTheme="majorHAnsi" w:hAnsiTheme="majorHAnsi" w:cstheme="majorHAnsi"/>
          <w:i/>
          <w:iCs/>
          <w:sz w:val="24"/>
          <w:szCs w:val="24"/>
        </w:rPr>
        <w:t>(s)</w:t>
      </w:r>
    </w:p>
    <w:p w14:paraId="642D1920" w14:textId="77777777" w:rsidR="006C707A" w:rsidRPr="001B61FF" w:rsidRDefault="006C707A" w:rsidP="006C707A">
      <w:pPr>
        <w:pStyle w:val="articlecontenu"/>
        <w:spacing w:after="0"/>
        <w:ind w:left="5664" w:firstLine="0"/>
        <w:rPr>
          <w:rFonts w:asciiTheme="majorHAnsi" w:hAnsiTheme="majorHAnsi" w:cstheme="majorHAnsi"/>
          <w:kern w:val="20"/>
          <w:sz w:val="24"/>
          <w:szCs w:val="24"/>
        </w:rPr>
      </w:pPr>
    </w:p>
    <w:p w14:paraId="3129BBD0" w14:textId="77777777" w:rsidR="006C707A" w:rsidRPr="001B61FF" w:rsidRDefault="006C707A" w:rsidP="006C707A">
      <w:pPr>
        <w:pStyle w:val="articlecontenu"/>
        <w:spacing w:after="0"/>
        <w:ind w:left="5664" w:firstLine="0"/>
        <w:rPr>
          <w:rFonts w:asciiTheme="majorHAnsi" w:hAnsiTheme="majorHAnsi" w:cstheme="majorHAnsi"/>
          <w:kern w:val="20"/>
          <w:sz w:val="24"/>
          <w:szCs w:val="24"/>
        </w:rPr>
      </w:pPr>
    </w:p>
    <w:p w14:paraId="2916F693" w14:textId="77777777" w:rsidR="006C707A" w:rsidRPr="001B61FF" w:rsidRDefault="006C707A" w:rsidP="006C707A">
      <w:pPr>
        <w:pStyle w:val="articlecontenu"/>
        <w:spacing w:after="0"/>
        <w:ind w:left="4956" w:firstLine="0"/>
        <w:rPr>
          <w:rFonts w:asciiTheme="majorHAnsi" w:hAnsiTheme="majorHAnsi" w:cstheme="majorHAnsi"/>
          <w:color w:val="2F5496"/>
          <w:kern w:val="20"/>
          <w:sz w:val="24"/>
          <w:szCs w:val="24"/>
        </w:rPr>
      </w:pPr>
      <w:r w:rsidRPr="001B61FF">
        <w:rPr>
          <w:rFonts w:asciiTheme="majorHAnsi" w:hAnsiTheme="majorHAnsi" w:cstheme="majorHAnsi"/>
          <w:kern w:val="20"/>
          <w:sz w:val="24"/>
          <w:szCs w:val="24"/>
        </w:rPr>
        <w:t xml:space="preserve">Fait à </w:t>
      </w:r>
      <w:r w:rsidRPr="001B61FF">
        <w:rPr>
          <w:rFonts w:asciiTheme="majorHAnsi" w:hAnsiTheme="majorHAnsi" w:cstheme="majorHAnsi"/>
          <w:color w:val="F4951E"/>
          <w:kern w:val="20"/>
          <w:sz w:val="24"/>
          <w:szCs w:val="24"/>
        </w:rPr>
        <w:t xml:space="preserve">…… </w:t>
      </w:r>
      <w:r w:rsidRPr="001B61FF">
        <w:rPr>
          <w:rFonts w:asciiTheme="majorHAnsi" w:hAnsiTheme="majorHAnsi" w:cstheme="majorHAnsi"/>
          <w:kern w:val="20"/>
          <w:sz w:val="24"/>
          <w:szCs w:val="24"/>
        </w:rPr>
        <w:t xml:space="preserve">le </w:t>
      </w:r>
      <w:r w:rsidRPr="001B61FF">
        <w:rPr>
          <w:rFonts w:asciiTheme="majorHAnsi" w:hAnsiTheme="majorHAnsi" w:cstheme="majorHAnsi"/>
          <w:color w:val="F4951E"/>
          <w:kern w:val="20"/>
          <w:sz w:val="24"/>
          <w:szCs w:val="24"/>
        </w:rPr>
        <w:t>……,</w:t>
      </w:r>
    </w:p>
    <w:p w14:paraId="70FE4156" w14:textId="77777777" w:rsidR="006C707A" w:rsidRPr="001B61FF" w:rsidRDefault="006C707A" w:rsidP="006C707A">
      <w:pPr>
        <w:pStyle w:val="articlecontenu"/>
        <w:spacing w:after="0"/>
        <w:ind w:left="4248" w:firstLine="708"/>
        <w:rPr>
          <w:rFonts w:asciiTheme="majorHAnsi" w:hAnsiTheme="majorHAnsi" w:cstheme="majorHAnsi"/>
          <w:i/>
          <w:color w:val="F4951E"/>
          <w:sz w:val="24"/>
          <w:szCs w:val="24"/>
        </w:rPr>
      </w:pPr>
      <w:r w:rsidRPr="001B61FF">
        <w:rPr>
          <w:rFonts w:asciiTheme="majorHAnsi" w:hAnsiTheme="majorHAnsi" w:cstheme="majorHAnsi"/>
          <w:kern w:val="20"/>
          <w:sz w:val="24"/>
          <w:szCs w:val="24"/>
        </w:rPr>
        <w:t xml:space="preserve">Le </w:t>
      </w:r>
      <w:r w:rsidRPr="001B61FF">
        <w:rPr>
          <w:rFonts w:asciiTheme="majorHAnsi" w:hAnsiTheme="majorHAnsi" w:cstheme="majorHAnsi"/>
          <w:i/>
          <w:color w:val="F4951E"/>
          <w:sz w:val="24"/>
          <w:szCs w:val="24"/>
        </w:rPr>
        <w:t>Maire (le Président),</w:t>
      </w:r>
    </w:p>
    <w:p w14:paraId="651D7B92" w14:textId="77777777" w:rsidR="006C707A" w:rsidRPr="001B61FF" w:rsidRDefault="006C707A" w:rsidP="006C707A">
      <w:pPr>
        <w:pStyle w:val="articlecontenu"/>
        <w:spacing w:after="0"/>
        <w:ind w:left="4248" w:firstLine="708"/>
        <w:rPr>
          <w:rFonts w:asciiTheme="majorHAnsi" w:hAnsiTheme="majorHAnsi" w:cstheme="majorHAnsi"/>
          <w:i/>
          <w:color w:val="F4951E"/>
          <w:sz w:val="24"/>
          <w:szCs w:val="24"/>
        </w:rPr>
      </w:pPr>
      <w:r w:rsidRPr="001B61FF">
        <w:rPr>
          <w:rFonts w:asciiTheme="majorHAnsi" w:hAnsiTheme="majorHAnsi" w:cstheme="majorHAnsi"/>
          <w:i/>
          <w:color w:val="F4951E"/>
          <w:sz w:val="24"/>
          <w:szCs w:val="24"/>
        </w:rPr>
        <w:t>(Prénom, nom - lisibles, cachet et signature)</w:t>
      </w:r>
    </w:p>
    <w:p w14:paraId="371A8FA5" w14:textId="77777777" w:rsidR="006C707A" w:rsidRPr="001B61FF" w:rsidRDefault="006C707A" w:rsidP="006C707A">
      <w:pPr>
        <w:pStyle w:val="articlecontenu"/>
        <w:spacing w:after="0"/>
        <w:ind w:left="4248" w:firstLine="708"/>
        <w:rPr>
          <w:rFonts w:asciiTheme="majorHAnsi" w:hAnsiTheme="majorHAnsi" w:cstheme="majorHAnsi"/>
          <w:i/>
          <w:color w:val="F4951E"/>
          <w:sz w:val="24"/>
          <w:szCs w:val="24"/>
        </w:rPr>
      </w:pPr>
      <w:r w:rsidRPr="001B61FF">
        <w:rPr>
          <w:rFonts w:asciiTheme="majorHAnsi" w:hAnsiTheme="majorHAnsi" w:cstheme="majorHAnsi"/>
          <w:i/>
          <w:color w:val="F4951E"/>
          <w:sz w:val="24"/>
          <w:szCs w:val="24"/>
        </w:rPr>
        <w:t>Ou Par délégation,</w:t>
      </w:r>
    </w:p>
    <w:p w14:paraId="11056D3C" w14:textId="77777777" w:rsidR="006C707A" w:rsidRPr="001B61FF" w:rsidRDefault="006C707A" w:rsidP="006C707A">
      <w:pPr>
        <w:pStyle w:val="articlecontenu"/>
        <w:spacing w:after="0"/>
        <w:ind w:left="4956" w:firstLine="0"/>
        <w:rPr>
          <w:rFonts w:asciiTheme="majorHAnsi" w:hAnsiTheme="majorHAnsi" w:cstheme="majorHAnsi"/>
          <w:i/>
          <w:color w:val="F4951E"/>
          <w:sz w:val="24"/>
          <w:szCs w:val="24"/>
        </w:rPr>
      </w:pPr>
      <w:r w:rsidRPr="001B61FF">
        <w:rPr>
          <w:rFonts w:asciiTheme="majorHAnsi" w:hAnsiTheme="majorHAnsi" w:cstheme="majorHAnsi"/>
          <w:i/>
          <w:color w:val="F4951E"/>
          <w:sz w:val="24"/>
          <w:szCs w:val="24"/>
        </w:rPr>
        <w:t>(Prénom, nom, qualité - lisibles, cachet et signature)</w:t>
      </w:r>
    </w:p>
    <w:p w14:paraId="732D4473" w14:textId="77777777" w:rsidR="0045044B" w:rsidRPr="001B61FF" w:rsidRDefault="0045044B" w:rsidP="0045044B">
      <w:pPr>
        <w:rPr>
          <w:rFonts w:asciiTheme="majorHAnsi" w:hAnsiTheme="majorHAnsi" w:cstheme="majorHAnsi"/>
          <w:sz w:val="24"/>
          <w:szCs w:val="24"/>
        </w:rPr>
      </w:pPr>
    </w:p>
    <w:p w14:paraId="00BB6624" w14:textId="77777777" w:rsidR="0045044B" w:rsidRPr="001B61FF" w:rsidRDefault="0045044B" w:rsidP="0045044B">
      <w:pPr>
        <w:pStyle w:val="recours"/>
        <w:ind w:left="0" w:right="0"/>
        <w:rPr>
          <w:rFonts w:asciiTheme="majorHAnsi" w:hAnsiTheme="majorHAnsi" w:cstheme="majorHAnsi"/>
          <w:color w:val="F4951E"/>
          <w:sz w:val="24"/>
          <w:szCs w:val="24"/>
        </w:rPr>
      </w:pPr>
      <w:r w:rsidRPr="001B61FF">
        <w:rPr>
          <w:rFonts w:asciiTheme="majorHAnsi" w:eastAsia="Calibri" w:hAnsiTheme="majorHAnsi" w:cstheme="majorHAnsi"/>
          <w:color w:val="F4951E"/>
          <w:kern w:val="20"/>
          <w:sz w:val="24"/>
          <w:szCs w:val="24"/>
          <w:lang w:eastAsia="fr-FR"/>
        </w:rPr>
        <w:t>Le Maire</w:t>
      </w:r>
      <w:r w:rsidRPr="001B61FF">
        <w:rPr>
          <w:rFonts w:asciiTheme="majorHAnsi" w:hAnsiTheme="majorHAnsi" w:cstheme="majorHAnsi"/>
          <w:color w:val="F4951E"/>
          <w:sz w:val="24"/>
          <w:szCs w:val="24"/>
        </w:rPr>
        <w:t xml:space="preserve"> </w:t>
      </w:r>
      <w:r w:rsidRPr="001B61FF">
        <w:rPr>
          <w:rFonts w:asciiTheme="majorHAnsi" w:hAnsiTheme="majorHAnsi" w:cstheme="majorHAnsi"/>
          <w:i/>
          <w:color w:val="F4951E"/>
          <w:sz w:val="24"/>
          <w:szCs w:val="24"/>
          <w:lang w:eastAsia="fr-FR"/>
        </w:rPr>
        <w:t>(ou le-la Président(e),</w:t>
      </w:r>
    </w:p>
    <w:p w14:paraId="36186618" w14:textId="77777777" w:rsidR="00981959" w:rsidRPr="001B61FF" w:rsidRDefault="0045044B" w:rsidP="00981959">
      <w:pPr>
        <w:pStyle w:val="Paragraphedeliste"/>
        <w:numPr>
          <w:ilvl w:val="0"/>
          <w:numId w:val="35"/>
        </w:numPr>
        <w:jc w:val="both"/>
        <w:rPr>
          <w:rFonts w:asciiTheme="majorHAnsi" w:eastAsia="Calibri" w:hAnsiTheme="majorHAnsi" w:cstheme="majorHAnsi"/>
          <w:kern w:val="20"/>
          <w:sz w:val="24"/>
          <w:szCs w:val="24"/>
        </w:rPr>
      </w:pPr>
      <w:r w:rsidRPr="001B61FF">
        <w:rPr>
          <w:rFonts w:asciiTheme="majorHAnsi" w:eastAsia="Calibri" w:hAnsiTheme="majorHAnsi" w:cstheme="majorHAnsi"/>
          <w:kern w:val="20"/>
          <w:sz w:val="24"/>
          <w:szCs w:val="24"/>
        </w:rPr>
        <w:t xml:space="preserve">Certifie le caractère exécutoire de cet acte,  </w:t>
      </w:r>
    </w:p>
    <w:p w14:paraId="7527DA85" w14:textId="77777777" w:rsidR="00981959" w:rsidRPr="001B61FF" w:rsidRDefault="00981959" w:rsidP="00981959">
      <w:pPr>
        <w:pStyle w:val="Paragraphedeliste"/>
        <w:jc w:val="both"/>
        <w:rPr>
          <w:rFonts w:asciiTheme="majorHAnsi" w:eastAsia="Calibri" w:hAnsiTheme="majorHAnsi" w:cstheme="majorHAnsi"/>
          <w:kern w:val="20"/>
          <w:sz w:val="24"/>
          <w:szCs w:val="24"/>
        </w:rPr>
      </w:pPr>
    </w:p>
    <w:p w14:paraId="41D4A210" w14:textId="5BCA0A29" w:rsidR="0045044B" w:rsidRPr="001B61FF" w:rsidRDefault="0045044B" w:rsidP="00981959">
      <w:pPr>
        <w:pStyle w:val="Paragraphedeliste"/>
        <w:numPr>
          <w:ilvl w:val="0"/>
          <w:numId w:val="35"/>
        </w:numPr>
        <w:jc w:val="both"/>
        <w:rPr>
          <w:rFonts w:asciiTheme="majorHAnsi" w:eastAsia="Calibri" w:hAnsiTheme="majorHAnsi" w:cstheme="majorHAnsi"/>
          <w:kern w:val="20"/>
          <w:sz w:val="24"/>
          <w:szCs w:val="24"/>
        </w:rPr>
      </w:pPr>
      <w:r w:rsidRPr="001B61FF">
        <w:rPr>
          <w:rFonts w:asciiTheme="majorHAnsi" w:eastAsia="Calibri" w:hAnsiTheme="majorHAnsi" w:cstheme="majorHAnsi"/>
          <w:kern w:val="20"/>
          <w:sz w:val="24"/>
          <w:szCs w:val="24"/>
          <w:lang w:eastAsia="fr-FR"/>
        </w:rPr>
        <w:t xml:space="preserve">Informe que celui-ci peut faire l’objet d’un recours pour excès de pouvoir auprès du Tribunal Administratif de Dijon, 22 Rue d’Assas 21000 Dijon, dans un délai de deux mois à compter de l’obtention de ce caractère exécutoire. Le </w:t>
      </w:r>
      <w:r w:rsidR="007F5DB7" w:rsidRPr="001B61FF">
        <w:rPr>
          <w:rFonts w:asciiTheme="majorHAnsi" w:eastAsia="Calibri" w:hAnsiTheme="majorHAnsi" w:cstheme="majorHAnsi"/>
          <w:kern w:val="20"/>
          <w:sz w:val="24"/>
          <w:szCs w:val="24"/>
          <w:lang w:eastAsia="fr-FR"/>
        </w:rPr>
        <w:t>T</w:t>
      </w:r>
      <w:r w:rsidRPr="001B61FF">
        <w:rPr>
          <w:rFonts w:asciiTheme="majorHAnsi" w:eastAsia="Calibri" w:hAnsiTheme="majorHAnsi" w:cstheme="majorHAnsi"/>
          <w:kern w:val="20"/>
          <w:sz w:val="24"/>
          <w:szCs w:val="24"/>
          <w:lang w:eastAsia="fr-FR"/>
        </w:rPr>
        <w:t xml:space="preserve">ribunal administratif peut être saisi par l’application informatique « Télérecours citoyens » accessible par le site Internet </w:t>
      </w:r>
      <w:hyperlink r:id="rId7" w:history="1">
        <w:r w:rsidRPr="001B61FF">
          <w:rPr>
            <w:rFonts w:asciiTheme="majorHAnsi" w:eastAsia="Calibri" w:hAnsiTheme="majorHAnsi" w:cstheme="majorHAnsi"/>
            <w:b/>
            <w:kern w:val="20"/>
            <w:sz w:val="24"/>
            <w:szCs w:val="24"/>
            <w:u w:val="single"/>
            <w:lang w:eastAsia="fr-FR"/>
          </w:rPr>
          <w:t>www.telerecours.fr</w:t>
        </w:r>
      </w:hyperlink>
    </w:p>
    <w:p w14:paraId="155A274B" w14:textId="77777777" w:rsidR="0045044B" w:rsidRPr="001B61FF" w:rsidRDefault="0045044B" w:rsidP="0045044B">
      <w:pPr>
        <w:outlineLvl w:val="0"/>
        <w:rPr>
          <w:rFonts w:asciiTheme="majorHAnsi" w:hAnsiTheme="majorHAnsi" w:cstheme="majorHAnsi"/>
          <w:kern w:val="20"/>
          <w:sz w:val="24"/>
          <w:szCs w:val="24"/>
        </w:rPr>
      </w:pPr>
    </w:p>
    <w:p w14:paraId="6E9DBC64" w14:textId="77777777" w:rsidR="0045044B" w:rsidRPr="001B61FF" w:rsidRDefault="0045044B" w:rsidP="0045044B">
      <w:pPr>
        <w:outlineLvl w:val="0"/>
        <w:rPr>
          <w:rFonts w:asciiTheme="majorHAnsi" w:hAnsiTheme="majorHAnsi" w:cstheme="majorHAnsi"/>
          <w:kern w:val="20"/>
          <w:sz w:val="24"/>
          <w:szCs w:val="24"/>
        </w:rPr>
      </w:pPr>
      <w:r w:rsidRPr="001B61FF">
        <w:rPr>
          <w:rFonts w:asciiTheme="majorHAnsi" w:hAnsiTheme="majorHAnsi" w:cstheme="majorHAnsi"/>
          <w:kern w:val="20"/>
          <w:sz w:val="24"/>
          <w:szCs w:val="24"/>
        </w:rPr>
        <w:t>Transmis au représentant de l’Etat le : ……….</w:t>
      </w:r>
    </w:p>
    <w:p w14:paraId="34513533" w14:textId="77777777" w:rsidR="0045044B" w:rsidRPr="001B61FF" w:rsidRDefault="0045044B" w:rsidP="0045044B">
      <w:pPr>
        <w:outlineLvl w:val="0"/>
        <w:rPr>
          <w:rFonts w:asciiTheme="majorHAnsi" w:hAnsiTheme="majorHAnsi" w:cstheme="majorHAnsi"/>
          <w:kern w:val="20"/>
          <w:sz w:val="24"/>
          <w:szCs w:val="24"/>
        </w:rPr>
      </w:pPr>
      <w:r w:rsidRPr="001B61FF">
        <w:rPr>
          <w:rFonts w:asciiTheme="majorHAnsi" w:hAnsiTheme="majorHAnsi" w:cstheme="majorHAnsi"/>
          <w:kern w:val="20"/>
          <w:sz w:val="24"/>
          <w:szCs w:val="24"/>
        </w:rPr>
        <w:t>Publié le : ………………</w:t>
      </w:r>
    </w:p>
    <w:p w14:paraId="662CD005" w14:textId="77777777" w:rsidR="005C225F" w:rsidRPr="001B61FF" w:rsidRDefault="005C225F" w:rsidP="0045044B">
      <w:pPr>
        <w:outlineLvl w:val="0"/>
        <w:rPr>
          <w:rFonts w:asciiTheme="majorHAnsi" w:hAnsiTheme="majorHAnsi" w:cstheme="majorHAnsi"/>
          <w:kern w:val="20"/>
          <w:sz w:val="24"/>
          <w:szCs w:val="24"/>
        </w:rPr>
      </w:pPr>
    </w:p>
    <w:p w14:paraId="0903336A" w14:textId="3FEDB189" w:rsidR="00EB468D" w:rsidRPr="001B61FF" w:rsidRDefault="005C225F" w:rsidP="00EB468D">
      <w:pPr>
        <w:pStyle w:val="Notedebasdepage"/>
        <w:rPr>
          <w:rFonts w:asciiTheme="majorHAnsi" w:hAnsiTheme="majorHAnsi" w:cstheme="majorHAnsi"/>
          <w:b/>
          <w:bCs/>
          <w:i/>
          <w:color w:val="007378"/>
          <w:sz w:val="24"/>
          <w:szCs w:val="24"/>
        </w:rPr>
      </w:pPr>
      <w:r w:rsidRPr="001B61FF">
        <w:rPr>
          <w:rFonts w:asciiTheme="majorHAnsi" w:hAnsiTheme="majorHAnsi" w:cstheme="majorHAnsi"/>
          <w:b/>
          <w:bCs/>
          <w:i/>
          <w:color w:val="007378"/>
          <w:sz w:val="24"/>
          <w:szCs w:val="24"/>
        </w:rPr>
        <w:t>P</w:t>
      </w:r>
      <w:r w:rsidR="00EB468D" w:rsidRPr="001B61FF">
        <w:rPr>
          <w:rFonts w:asciiTheme="majorHAnsi" w:hAnsiTheme="majorHAnsi" w:cstheme="majorHAnsi"/>
          <w:b/>
          <w:bCs/>
          <w:i/>
          <w:color w:val="007378"/>
          <w:sz w:val="24"/>
          <w:szCs w:val="24"/>
        </w:rPr>
        <w:t xml:space="preserve">our rappel, une délibération ne peut prendre effet au plus tôt qu'au jour de sa transmission au contrôle de légalité, une application rétroactive étant illégale. </w:t>
      </w:r>
    </w:p>
    <w:p w14:paraId="2C82E1DB" w14:textId="77777777" w:rsidR="00EB468D" w:rsidRPr="001B61FF" w:rsidRDefault="00EB468D" w:rsidP="00EB468D">
      <w:pPr>
        <w:ind w:right="140"/>
        <w:jc w:val="both"/>
        <w:rPr>
          <w:rFonts w:asciiTheme="majorHAnsi" w:hAnsiTheme="majorHAnsi" w:cstheme="majorHAnsi"/>
          <w:sz w:val="24"/>
          <w:szCs w:val="24"/>
        </w:rPr>
      </w:pPr>
    </w:p>
    <w:sectPr w:rsidR="00EB468D" w:rsidRPr="001B61FF"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B28C" w14:textId="77777777" w:rsidR="00C37EE5" w:rsidRDefault="00C37EE5" w:rsidP="00C326A1">
      <w:r>
        <w:separator/>
      </w:r>
    </w:p>
  </w:endnote>
  <w:endnote w:type="continuationSeparator" w:id="0">
    <w:p w14:paraId="76D22150" w14:textId="77777777" w:rsidR="00C37EE5" w:rsidRDefault="00C37EE5"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62FB26B7"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031817">
          <w:rPr>
            <w:i/>
            <w:iCs/>
            <w:color w:val="F4951E"/>
            <w:sz w:val="14"/>
            <w:szCs w:val="14"/>
          </w:rPr>
          <w:t>compte épargne</w:t>
        </w:r>
        <w:r w:rsidR="00B27FBA">
          <w:rPr>
            <w:i/>
            <w:iCs/>
            <w:color w:val="F4951E"/>
            <w:sz w:val="14"/>
            <w:szCs w:val="14"/>
          </w:rPr>
          <w:t>-</w:t>
        </w:r>
        <w:r w:rsidR="00031817">
          <w:rPr>
            <w:i/>
            <w:iCs/>
            <w:color w:val="F4951E"/>
            <w:sz w:val="14"/>
            <w:szCs w:val="14"/>
          </w:rPr>
          <w:t>temps</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18CD0657"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031817">
          <w:rPr>
            <w:i/>
            <w:iCs/>
            <w:color w:val="F4951E"/>
            <w:sz w:val="14"/>
            <w:szCs w:val="14"/>
          </w:rPr>
          <w:t>compte épargne</w:t>
        </w:r>
        <w:r w:rsidR="005D36BA">
          <w:rPr>
            <w:i/>
            <w:iCs/>
            <w:color w:val="F4951E"/>
            <w:sz w:val="14"/>
            <w:szCs w:val="14"/>
          </w:rPr>
          <w:t>-</w:t>
        </w:r>
        <w:r w:rsidR="00031817">
          <w:rPr>
            <w:i/>
            <w:iCs/>
            <w:color w:val="F4951E"/>
            <w:sz w:val="14"/>
            <w:szCs w:val="14"/>
          </w:rPr>
          <w:t>temps</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279A" w14:textId="77777777" w:rsidR="00C37EE5" w:rsidRDefault="00C37EE5" w:rsidP="00C326A1">
      <w:r>
        <w:separator/>
      </w:r>
    </w:p>
  </w:footnote>
  <w:footnote w:type="continuationSeparator" w:id="0">
    <w:p w14:paraId="0264B0F9" w14:textId="77777777" w:rsidR="00C37EE5" w:rsidRDefault="00C37EE5"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65754E15" w:rsidR="007565D6" w:rsidRPr="00AD6E29" w:rsidRDefault="006C707A" w:rsidP="00AD6E29">
                          <w:pPr>
                            <w:rPr>
                              <w:sz w:val="20"/>
                              <w:szCs w:val="20"/>
                            </w:rPr>
                          </w:pPr>
                          <w:r>
                            <w:rPr>
                              <w:sz w:val="20"/>
                              <w:szCs w:val="20"/>
                            </w:rPr>
                            <w:t>Compt</w:t>
                          </w:r>
                          <w:r w:rsidR="00031817">
                            <w:rPr>
                              <w:sz w:val="20"/>
                              <w:szCs w:val="20"/>
                            </w:rPr>
                            <w:t>e</w:t>
                          </w:r>
                          <w:r>
                            <w:rPr>
                              <w:sz w:val="20"/>
                              <w:szCs w:val="20"/>
                            </w:rPr>
                            <w:t xml:space="preserve"> épargne</w:t>
                          </w:r>
                          <w:r w:rsidR="00506085">
                            <w:rPr>
                              <w:sz w:val="20"/>
                              <w:szCs w:val="20"/>
                            </w:rPr>
                            <w:t>-</w:t>
                          </w:r>
                          <w:r>
                            <w:rPr>
                              <w:sz w:val="20"/>
                              <w:szCs w:val="20"/>
                            </w:rPr>
                            <w:t>temps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65754E15" w:rsidR="007565D6" w:rsidRPr="00AD6E29" w:rsidRDefault="006C707A" w:rsidP="00AD6E29">
                    <w:pPr>
                      <w:rPr>
                        <w:sz w:val="20"/>
                        <w:szCs w:val="20"/>
                      </w:rPr>
                    </w:pPr>
                    <w:r>
                      <w:rPr>
                        <w:sz w:val="20"/>
                        <w:szCs w:val="20"/>
                      </w:rPr>
                      <w:t>Compt</w:t>
                    </w:r>
                    <w:r w:rsidR="00031817">
                      <w:rPr>
                        <w:sz w:val="20"/>
                        <w:szCs w:val="20"/>
                      </w:rPr>
                      <w:t>e</w:t>
                    </w:r>
                    <w:r>
                      <w:rPr>
                        <w:sz w:val="20"/>
                        <w:szCs w:val="20"/>
                      </w:rPr>
                      <w:t xml:space="preserve"> épargne</w:t>
                    </w:r>
                    <w:r w:rsidR="00506085">
                      <w:rPr>
                        <w:sz w:val="20"/>
                        <w:szCs w:val="20"/>
                      </w:rPr>
                      <w:t>-</w:t>
                    </w:r>
                    <w:r>
                      <w:rPr>
                        <w:sz w:val="20"/>
                        <w:szCs w:val="20"/>
                      </w:rPr>
                      <w:t>temps</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69741741" w:rsidR="00EB468D" w:rsidRPr="00EB468D" w:rsidRDefault="006C707A" w:rsidP="00EB468D">
                          <w:pPr>
                            <w:jc w:val="center"/>
                            <w:rPr>
                              <w:b/>
                              <w:bCs/>
                              <w:smallCaps/>
                              <w:sz w:val="24"/>
                              <w:szCs w:val="24"/>
                            </w:rPr>
                          </w:pPr>
                          <w:r>
                            <w:rPr>
                              <w:b/>
                              <w:bCs/>
                              <w:smallCaps/>
                              <w:sz w:val="24"/>
                              <w:szCs w:val="24"/>
                            </w:rPr>
                            <w:t>Compte épargne</w:t>
                          </w:r>
                          <w:r w:rsidR="00C923FE">
                            <w:rPr>
                              <w:b/>
                              <w:bCs/>
                              <w:smallCaps/>
                              <w:sz w:val="24"/>
                              <w:szCs w:val="24"/>
                            </w:rPr>
                            <w:t>-</w:t>
                          </w:r>
                          <w:r>
                            <w:rPr>
                              <w:b/>
                              <w:bCs/>
                              <w:smallCaps/>
                              <w:sz w:val="24"/>
                              <w:szCs w:val="24"/>
                            </w:rPr>
                            <w:t>temps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F34F1" id="_x0000_t202" coordsize="21600,21600" o:spt="202" path="m,l,21600r21600,l21600,xe">
              <v:stroke joinstyle="miter"/>
              <v:path gradientshapeok="t" o:connecttype="rect"/>
            </v:shapetype>
            <v:shape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69741741" w:rsidR="00EB468D" w:rsidRPr="00EB468D" w:rsidRDefault="006C707A" w:rsidP="00EB468D">
                    <w:pPr>
                      <w:jc w:val="center"/>
                      <w:rPr>
                        <w:b/>
                        <w:bCs/>
                        <w:smallCaps/>
                        <w:sz w:val="24"/>
                        <w:szCs w:val="24"/>
                      </w:rPr>
                    </w:pPr>
                    <w:r>
                      <w:rPr>
                        <w:b/>
                        <w:bCs/>
                        <w:smallCaps/>
                        <w:sz w:val="24"/>
                        <w:szCs w:val="24"/>
                      </w:rPr>
                      <w:t>Compte épargne</w:t>
                    </w:r>
                    <w:r w:rsidR="00C923FE">
                      <w:rPr>
                        <w:b/>
                        <w:bCs/>
                        <w:smallCaps/>
                        <w:sz w:val="24"/>
                        <w:szCs w:val="24"/>
                      </w:rPr>
                      <w:t>-</w:t>
                    </w:r>
                    <w:r>
                      <w:rPr>
                        <w:b/>
                        <w:bCs/>
                        <w:smallCaps/>
                        <w:sz w:val="24"/>
                        <w:szCs w:val="24"/>
                      </w:rPr>
                      <w:t>temps</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648CB"/>
    <w:multiLevelType w:val="hybridMultilevel"/>
    <w:tmpl w:val="2EF016E2"/>
    <w:lvl w:ilvl="0" w:tplc="3968AF98">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4"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6"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4B461C"/>
    <w:multiLevelType w:val="hybridMultilevel"/>
    <w:tmpl w:val="C7244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6"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3"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5C225BB3"/>
    <w:multiLevelType w:val="hybridMultilevel"/>
    <w:tmpl w:val="6C768074"/>
    <w:lvl w:ilvl="0" w:tplc="542694A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6"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42"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3"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8"/>
  </w:num>
  <w:num w:numId="2" w16cid:durableId="1395546049">
    <w:abstractNumId w:val="20"/>
  </w:num>
  <w:num w:numId="3" w16cid:durableId="1260404714">
    <w:abstractNumId w:val="7"/>
  </w:num>
  <w:num w:numId="4" w16cid:durableId="1651904270">
    <w:abstractNumId w:val="10"/>
  </w:num>
  <w:num w:numId="5" w16cid:durableId="1341197562">
    <w:abstractNumId w:val="31"/>
  </w:num>
  <w:num w:numId="6" w16cid:durableId="161698899">
    <w:abstractNumId w:val="43"/>
  </w:num>
  <w:num w:numId="7" w16cid:durableId="1786537435">
    <w:abstractNumId w:val="25"/>
  </w:num>
  <w:num w:numId="8" w16cid:durableId="984119161">
    <w:abstractNumId w:val="32"/>
  </w:num>
  <w:num w:numId="9" w16cid:durableId="1787118705">
    <w:abstractNumId w:val="42"/>
  </w:num>
  <w:num w:numId="10" w16cid:durableId="1337152786">
    <w:abstractNumId w:val="29"/>
  </w:num>
  <w:num w:numId="11" w16cid:durableId="1432310731">
    <w:abstractNumId w:val="27"/>
  </w:num>
  <w:num w:numId="12" w16cid:durableId="2085030997">
    <w:abstractNumId w:val="17"/>
  </w:num>
  <w:num w:numId="13" w16cid:durableId="454640481">
    <w:abstractNumId w:val="19"/>
  </w:num>
  <w:num w:numId="14" w16cid:durableId="988094122">
    <w:abstractNumId w:val="35"/>
  </w:num>
  <w:num w:numId="15" w16cid:durableId="1632787256">
    <w:abstractNumId w:val="23"/>
  </w:num>
  <w:num w:numId="16" w16cid:durableId="1569219465">
    <w:abstractNumId w:val="14"/>
  </w:num>
  <w:num w:numId="17" w16cid:durableId="2044014591">
    <w:abstractNumId w:val="8"/>
  </w:num>
  <w:num w:numId="18" w16cid:durableId="1587301722">
    <w:abstractNumId w:val="11"/>
  </w:num>
  <w:num w:numId="19" w16cid:durableId="827474646">
    <w:abstractNumId w:val="36"/>
  </w:num>
  <w:num w:numId="20" w16cid:durableId="1604000042">
    <w:abstractNumId w:val="37"/>
  </w:num>
  <w:num w:numId="21" w16cid:durableId="357657821">
    <w:abstractNumId w:val="28"/>
  </w:num>
  <w:num w:numId="22" w16cid:durableId="1463114221">
    <w:abstractNumId w:val="4"/>
  </w:num>
  <w:num w:numId="23" w16cid:durableId="1860503625">
    <w:abstractNumId w:val="1"/>
  </w:num>
  <w:num w:numId="24" w16cid:durableId="868375118">
    <w:abstractNumId w:val="30"/>
  </w:num>
  <w:num w:numId="25" w16cid:durableId="1020661577">
    <w:abstractNumId w:val="2"/>
  </w:num>
  <w:num w:numId="26" w16cid:durableId="508251105">
    <w:abstractNumId w:val="24"/>
  </w:num>
  <w:num w:numId="27" w16cid:durableId="642076675">
    <w:abstractNumId w:val="26"/>
  </w:num>
  <w:num w:numId="28" w16cid:durableId="1190024737">
    <w:abstractNumId w:val="13"/>
  </w:num>
  <w:num w:numId="29" w16cid:durableId="1777746393">
    <w:abstractNumId w:val="0"/>
  </w:num>
  <w:num w:numId="30" w16cid:durableId="569392392">
    <w:abstractNumId w:val="5"/>
  </w:num>
  <w:num w:numId="31" w16cid:durableId="645159389">
    <w:abstractNumId w:val="18"/>
  </w:num>
  <w:num w:numId="32" w16cid:durableId="1403211248">
    <w:abstractNumId w:val="33"/>
  </w:num>
  <w:num w:numId="33" w16cid:durableId="1865049938">
    <w:abstractNumId w:val="40"/>
  </w:num>
  <w:num w:numId="34" w16cid:durableId="1279486509">
    <w:abstractNumId w:val="39"/>
  </w:num>
  <w:num w:numId="35" w16cid:durableId="475338458">
    <w:abstractNumId w:val="12"/>
  </w:num>
  <w:num w:numId="36" w16cid:durableId="1667174745">
    <w:abstractNumId w:val="9"/>
  </w:num>
  <w:num w:numId="37" w16cid:durableId="702825025">
    <w:abstractNumId w:val="12"/>
  </w:num>
  <w:num w:numId="38" w16cid:durableId="1834221952">
    <w:abstractNumId w:val="9"/>
  </w:num>
  <w:num w:numId="39" w16cid:durableId="1288512289">
    <w:abstractNumId w:val="15"/>
  </w:num>
  <w:num w:numId="40" w16cid:durableId="1363440824">
    <w:abstractNumId w:val="41"/>
  </w:num>
  <w:num w:numId="41" w16cid:durableId="1561358486">
    <w:abstractNumId w:val="22"/>
  </w:num>
  <w:num w:numId="42" w16cid:durableId="366685435">
    <w:abstractNumId w:val="34"/>
  </w:num>
  <w:num w:numId="43" w16cid:durableId="1787308952">
    <w:abstractNumId w:val="6"/>
  </w:num>
  <w:num w:numId="44" w16cid:durableId="1045566601">
    <w:abstractNumId w:val="16"/>
  </w:num>
  <w:num w:numId="45" w16cid:durableId="1352226324">
    <w:abstractNumId w:val="3"/>
  </w:num>
  <w:num w:numId="46" w16cid:durableId="243300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31817"/>
    <w:rsid w:val="00074F23"/>
    <w:rsid w:val="00090728"/>
    <w:rsid w:val="00091885"/>
    <w:rsid w:val="00097D01"/>
    <w:rsid w:val="000D0DA3"/>
    <w:rsid w:val="000D1F50"/>
    <w:rsid w:val="000D1F85"/>
    <w:rsid w:val="001012C5"/>
    <w:rsid w:val="0011319F"/>
    <w:rsid w:val="00161CBD"/>
    <w:rsid w:val="00167E3D"/>
    <w:rsid w:val="00183D80"/>
    <w:rsid w:val="00195434"/>
    <w:rsid w:val="001A123D"/>
    <w:rsid w:val="001B3097"/>
    <w:rsid w:val="001B61FF"/>
    <w:rsid w:val="002120A1"/>
    <w:rsid w:val="00261B22"/>
    <w:rsid w:val="00261E3E"/>
    <w:rsid w:val="0027004F"/>
    <w:rsid w:val="002B0220"/>
    <w:rsid w:val="002E1D56"/>
    <w:rsid w:val="00322F15"/>
    <w:rsid w:val="00326D94"/>
    <w:rsid w:val="003A45E3"/>
    <w:rsid w:val="003C728E"/>
    <w:rsid w:val="00400EED"/>
    <w:rsid w:val="00404FA6"/>
    <w:rsid w:val="00412F5A"/>
    <w:rsid w:val="004470AB"/>
    <w:rsid w:val="0045044B"/>
    <w:rsid w:val="00464553"/>
    <w:rsid w:val="0048103D"/>
    <w:rsid w:val="00486CA5"/>
    <w:rsid w:val="00501FEA"/>
    <w:rsid w:val="00506085"/>
    <w:rsid w:val="00541E3B"/>
    <w:rsid w:val="00580747"/>
    <w:rsid w:val="005954A4"/>
    <w:rsid w:val="005A4FB1"/>
    <w:rsid w:val="005C225F"/>
    <w:rsid w:val="005D2892"/>
    <w:rsid w:val="005D36BA"/>
    <w:rsid w:val="005E6E5C"/>
    <w:rsid w:val="00611C4C"/>
    <w:rsid w:val="0063273F"/>
    <w:rsid w:val="00672221"/>
    <w:rsid w:val="006736A6"/>
    <w:rsid w:val="006C145C"/>
    <w:rsid w:val="006C707A"/>
    <w:rsid w:val="007036C4"/>
    <w:rsid w:val="0070653D"/>
    <w:rsid w:val="00715574"/>
    <w:rsid w:val="00732B07"/>
    <w:rsid w:val="00742283"/>
    <w:rsid w:val="007558E5"/>
    <w:rsid w:val="007565D6"/>
    <w:rsid w:val="00777530"/>
    <w:rsid w:val="00786076"/>
    <w:rsid w:val="007A37F9"/>
    <w:rsid w:val="007B5B64"/>
    <w:rsid w:val="007E2009"/>
    <w:rsid w:val="007F5DB7"/>
    <w:rsid w:val="007F74F3"/>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45051"/>
    <w:rsid w:val="00981959"/>
    <w:rsid w:val="009E3051"/>
    <w:rsid w:val="009F2D4F"/>
    <w:rsid w:val="009F6039"/>
    <w:rsid w:val="00A04402"/>
    <w:rsid w:val="00A53662"/>
    <w:rsid w:val="00AA11B4"/>
    <w:rsid w:val="00AD6E29"/>
    <w:rsid w:val="00B27FBA"/>
    <w:rsid w:val="00B307D5"/>
    <w:rsid w:val="00B3616C"/>
    <w:rsid w:val="00B800FE"/>
    <w:rsid w:val="00B844EB"/>
    <w:rsid w:val="00B93917"/>
    <w:rsid w:val="00B9672E"/>
    <w:rsid w:val="00BB0B06"/>
    <w:rsid w:val="00BE0E68"/>
    <w:rsid w:val="00BF6CA1"/>
    <w:rsid w:val="00C124DE"/>
    <w:rsid w:val="00C326A1"/>
    <w:rsid w:val="00C35EB9"/>
    <w:rsid w:val="00C37EE5"/>
    <w:rsid w:val="00C523D2"/>
    <w:rsid w:val="00C66BF3"/>
    <w:rsid w:val="00C86677"/>
    <w:rsid w:val="00C923FE"/>
    <w:rsid w:val="00CC3F15"/>
    <w:rsid w:val="00CD4CFC"/>
    <w:rsid w:val="00D32488"/>
    <w:rsid w:val="00D3332F"/>
    <w:rsid w:val="00D64AE8"/>
    <w:rsid w:val="00DB592F"/>
    <w:rsid w:val="00DD2898"/>
    <w:rsid w:val="00E97B7A"/>
    <w:rsid w:val="00EB468D"/>
    <w:rsid w:val="00EC0DA4"/>
    <w:rsid w:val="00F17A45"/>
    <w:rsid w:val="00F33253"/>
    <w:rsid w:val="00F41045"/>
    <w:rsid w:val="00F61582"/>
    <w:rsid w:val="00F950F7"/>
    <w:rsid w:val="00FA3FF6"/>
    <w:rsid w:val="00FC62C6"/>
    <w:rsid w:val="00FD5BC7"/>
    <w:rsid w:val="00FE2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 w:type="paragraph" w:customStyle="1" w:styleId="spip1">
    <w:name w:val="spip1"/>
    <w:basedOn w:val="Normal"/>
    <w:rsid w:val="0045044B"/>
    <w:pPr>
      <w:spacing w:after="160"/>
      <w:ind w:right="200"/>
    </w:pPr>
    <w:rPr>
      <w:rFonts w:ascii="Arial" w:eastAsia="Times New Roman" w:hAnsi="Arial" w:cs="Arial"/>
      <w:color w:val="000000"/>
      <w:sz w:val="20"/>
      <w:szCs w:val="20"/>
      <w:lang w:eastAsia="fr-FR"/>
    </w:rPr>
  </w:style>
  <w:style w:type="paragraph" w:customStyle="1" w:styleId="RETRAIT1">
    <w:name w:val="RETRAIT 1"/>
    <w:basedOn w:val="Normal"/>
    <w:link w:val="RETRAIT1CarCar"/>
    <w:rsid w:val="006C707A"/>
    <w:pPr>
      <w:numPr>
        <w:numId w:val="44"/>
      </w:numPr>
      <w:tabs>
        <w:tab w:val="clear" w:pos="644"/>
        <w:tab w:val="num" w:pos="770"/>
      </w:tabs>
      <w:spacing w:before="120" w:after="40"/>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6C707A"/>
    <w:rPr>
      <w:rFonts w:ascii="Arial" w:eastAsia="Times New Roman" w:hAnsi="Arial" w:cs="Arial"/>
      <w:color w:val="333333"/>
      <w:kern w:val="0"/>
      <w:sz w:val="20"/>
      <w:szCs w:val="20"/>
      <w:lang w:eastAsia="fr-FR"/>
      <w14:ligatures w14:val="none"/>
    </w:rPr>
  </w:style>
  <w:style w:type="paragraph" w:customStyle="1" w:styleId="TEXTE">
    <w:name w:val="TEXTE"/>
    <w:basedOn w:val="Normal"/>
    <w:link w:val="TEXTECar"/>
    <w:rsid w:val="006C707A"/>
    <w:pPr>
      <w:numPr>
        <w:ilvl w:val="4"/>
        <w:numId w:val="45"/>
      </w:numPr>
      <w:spacing w:before="200" w:after="60"/>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6C707A"/>
    <w:rPr>
      <w:rFonts w:ascii="Arial" w:eastAsia="Times New Roman" w:hAnsi="Arial" w:cs="Arial"/>
      <w:color w:val="333333"/>
      <w:kern w:val="0"/>
      <w:sz w:val="20"/>
      <w:szCs w:val="20"/>
      <w:lang w:eastAsia="fr-FR"/>
      <w14:ligatures w14:val="none"/>
    </w:rPr>
  </w:style>
  <w:style w:type="paragraph" w:customStyle="1" w:styleId="textenormal">
    <w:name w:val="texte_normal"/>
    <w:basedOn w:val="TEXTE"/>
    <w:link w:val="textenormalCar1"/>
    <w:rsid w:val="006C707A"/>
    <w:pPr>
      <w:numPr>
        <w:ilvl w:val="0"/>
        <w:numId w:val="0"/>
      </w:numPr>
      <w:spacing w:before="160"/>
      <w:ind w:left="454"/>
    </w:pPr>
  </w:style>
  <w:style w:type="character" w:customStyle="1" w:styleId="textenormalCar1">
    <w:name w:val="texte_normal Car1"/>
    <w:basedOn w:val="Policepardfaut"/>
    <w:link w:val="textenormal"/>
    <w:rsid w:val="006C707A"/>
    <w:rPr>
      <w:rFonts w:ascii="Arial" w:eastAsia="Times New Roman" w:hAnsi="Arial" w:cs="Arial"/>
      <w:color w:val="333333"/>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3039</Words>
  <Characters>16720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11</cp:revision>
  <dcterms:created xsi:type="dcterms:W3CDTF">2026-03-04T09:34:00Z</dcterms:created>
  <dcterms:modified xsi:type="dcterms:W3CDTF">2026-03-11T09:02:00Z</dcterms:modified>
</cp:coreProperties>
</file>